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17" w:rsidRDefault="00690917" w:rsidP="00E12F88">
      <w:pPr>
        <w:contextualSpacing/>
        <w:jc w:val="both"/>
        <w:rPr>
          <w:rFonts w:ascii="Times New Roman" w:hAnsi="Times New Roman" w:cs="Times New Roman"/>
          <w:b/>
          <w:szCs w:val="24"/>
          <w:u w:val="single"/>
        </w:rPr>
      </w:pPr>
      <w:bookmarkStart w:id="0" w:name="_GoBack"/>
      <w:bookmarkEnd w:id="0"/>
    </w:p>
    <w:p w:rsidR="00E12F88" w:rsidRPr="004053F5" w:rsidRDefault="000A6C1D" w:rsidP="00E12F88">
      <w:pPr>
        <w:contextualSpacing/>
        <w:jc w:val="both"/>
        <w:rPr>
          <w:rFonts w:ascii="Times New Roman" w:hAnsi="Times New Roman" w:cs="Times New Roman"/>
          <w:b/>
          <w:szCs w:val="24"/>
          <w:u w:val="single"/>
        </w:rPr>
      </w:pPr>
      <w:r w:rsidRPr="004053F5">
        <w:rPr>
          <w:rFonts w:ascii="Times New Roman" w:hAnsi="Times New Roman" w:cs="Times New Roman"/>
          <w:b/>
          <w:szCs w:val="24"/>
          <w:u w:val="single"/>
        </w:rPr>
        <w:t xml:space="preserve">Summary – </w:t>
      </w:r>
      <w:r w:rsidR="00E12F88" w:rsidRPr="004053F5">
        <w:rPr>
          <w:rFonts w:ascii="Times New Roman" w:hAnsi="Times New Roman" w:cs="Times New Roman"/>
          <w:b/>
          <w:szCs w:val="24"/>
          <w:u w:val="single"/>
        </w:rPr>
        <w:t xml:space="preserve">Consultation </w:t>
      </w:r>
      <w:r w:rsidRPr="004053F5">
        <w:rPr>
          <w:rFonts w:ascii="Times New Roman" w:hAnsi="Times New Roman" w:cs="Times New Roman"/>
          <w:b/>
          <w:szCs w:val="24"/>
          <w:u w:val="single"/>
        </w:rPr>
        <w:t>C</w:t>
      </w:r>
      <w:r w:rsidR="00E12F88" w:rsidRPr="004053F5">
        <w:rPr>
          <w:rFonts w:ascii="Times New Roman" w:hAnsi="Times New Roman" w:cs="Times New Roman"/>
          <w:b/>
          <w:szCs w:val="24"/>
          <w:u w:val="single"/>
        </w:rPr>
        <w:t xml:space="preserve">onclusions on the OTC </w:t>
      </w:r>
      <w:r w:rsidRPr="004053F5">
        <w:rPr>
          <w:rFonts w:ascii="Times New Roman" w:hAnsi="Times New Roman" w:cs="Times New Roman"/>
          <w:b/>
          <w:szCs w:val="24"/>
          <w:u w:val="single"/>
        </w:rPr>
        <w:t>D</w:t>
      </w:r>
      <w:r w:rsidR="00E12F88" w:rsidRPr="004053F5">
        <w:rPr>
          <w:rFonts w:ascii="Times New Roman" w:hAnsi="Times New Roman" w:cs="Times New Roman"/>
          <w:b/>
          <w:szCs w:val="24"/>
          <w:u w:val="single"/>
        </w:rPr>
        <w:t xml:space="preserve">erivatives </w:t>
      </w:r>
      <w:r w:rsidRPr="004053F5">
        <w:rPr>
          <w:rFonts w:ascii="Times New Roman" w:hAnsi="Times New Roman" w:cs="Times New Roman"/>
          <w:b/>
          <w:szCs w:val="24"/>
          <w:u w:val="single"/>
        </w:rPr>
        <w:t>R</w:t>
      </w:r>
      <w:r w:rsidR="00E12F88" w:rsidRPr="004053F5">
        <w:rPr>
          <w:rFonts w:ascii="Times New Roman" w:hAnsi="Times New Roman" w:cs="Times New Roman"/>
          <w:b/>
          <w:szCs w:val="24"/>
          <w:u w:val="single"/>
        </w:rPr>
        <w:t xml:space="preserve">egime for Hong Kong – Proposed </w:t>
      </w:r>
      <w:r w:rsidRPr="004053F5">
        <w:rPr>
          <w:rFonts w:ascii="Times New Roman" w:hAnsi="Times New Roman" w:cs="Times New Roman"/>
          <w:b/>
          <w:szCs w:val="24"/>
          <w:u w:val="single"/>
        </w:rPr>
        <w:t>R</w:t>
      </w:r>
      <w:r w:rsidR="00E12F88" w:rsidRPr="004053F5">
        <w:rPr>
          <w:rFonts w:ascii="Times New Roman" w:hAnsi="Times New Roman" w:cs="Times New Roman"/>
          <w:b/>
          <w:szCs w:val="24"/>
          <w:u w:val="single"/>
        </w:rPr>
        <w:t xml:space="preserve">efinements to the </w:t>
      </w:r>
      <w:r w:rsidRPr="004053F5">
        <w:rPr>
          <w:rFonts w:ascii="Times New Roman" w:hAnsi="Times New Roman" w:cs="Times New Roman"/>
          <w:b/>
          <w:szCs w:val="24"/>
          <w:u w:val="single"/>
        </w:rPr>
        <w:t>S</w:t>
      </w:r>
      <w:r w:rsidR="00E12F88" w:rsidRPr="004053F5">
        <w:rPr>
          <w:rFonts w:ascii="Times New Roman" w:hAnsi="Times New Roman" w:cs="Times New Roman"/>
          <w:b/>
          <w:szCs w:val="24"/>
          <w:u w:val="single"/>
        </w:rPr>
        <w:t xml:space="preserve">cope of </w:t>
      </w:r>
      <w:r w:rsidRPr="004053F5">
        <w:rPr>
          <w:rFonts w:ascii="Times New Roman" w:hAnsi="Times New Roman" w:cs="Times New Roman"/>
          <w:b/>
          <w:szCs w:val="24"/>
          <w:u w:val="single"/>
        </w:rPr>
        <w:t>R</w:t>
      </w:r>
      <w:r w:rsidR="00E12F88" w:rsidRPr="004053F5">
        <w:rPr>
          <w:rFonts w:ascii="Times New Roman" w:hAnsi="Times New Roman" w:cs="Times New Roman"/>
          <w:b/>
          <w:szCs w:val="24"/>
          <w:u w:val="single"/>
        </w:rPr>
        <w:t xml:space="preserve">egulated </w:t>
      </w:r>
      <w:r w:rsidRPr="004053F5">
        <w:rPr>
          <w:rFonts w:ascii="Times New Roman" w:hAnsi="Times New Roman" w:cs="Times New Roman"/>
          <w:b/>
          <w:szCs w:val="24"/>
          <w:u w:val="single"/>
        </w:rPr>
        <w:t>A</w:t>
      </w:r>
      <w:r w:rsidR="00E12F88" w:rsidRPr="004053F5">
        <w:rPr>
          <w:rFonts w:ascii="Times New Roman" w:hAnsi="Times New Roman" w:cs="Times New Roman"/>
          <w:b/>
          <w:szCs w:val="24"/>
          <w:u w:val="single"/>
        </w:rPr>
        <w:t xml:space="preserve">ctivities and </w:t>
      </w:r>
      <w:r w:rsidRPr="004053F5">
        <w:rPr>
          <w:rFonts w:ascii="Times New Roman" w:hAnsi="Times New Roman" w:cs="Times New Roman"/>
          <w:b/>
          <w:szCs w:val="24"/>
          <w:u w:val="single"/>
        </w:rPr>
        <w:t>C</w:t>
      </w:r>
      <w:r w:rsidR="00E12F88" w:rsidRPr="004053F5">
        <w:rPr>
          <w:rFonts w:ascii="Times New Roman" w:hAnsi="Times New Roman" w:cs="Times New Roman"/>
          <w:b/>
          <w:szCs w:val="24"/>
          <w:u w:val="single"/>
        </w:rPr>
        <w:t xml:space="preserve">ompetence </w:t>
      </w:r>
      <w:r w:rsidRPr="004053F5">
        <w:rPr>
          <w:rFonts w:ascii="Times New Roman" w:hAnsi="Times New Roman" w:cs="Times New Roman"/>
          <w:b/>
          <w:szCs w:val="24"/>
          <w:u w:val="single"/>
        </w:rPr>
        <w:t>R</w:t>
      </w:r>
      <w:r w:rsidR="00E12F88" w:rsidRPr="004053F5">
        <w:rPr>
          <w:rFonts w:ascii="Times New Roman" w:hAnsi="Times New Roman" w:cs="Times New Roman"/>
          <w:b/>
          <w:szCs w:val="24"/>
          <w:u w:val="single"/>
        </w:rPr>
        <w:t xml:space="preserve">equirements under the OTC </w:t>
      </w:r>
      <w:r w:rsidRPr="004053F5">
        <w:rPr>
          <w:rFonts w:ascii="Times New Roman" w:hAnsi="Times New Roman" w:cs="Times New Roman"/>
          <w:b/>
          <w:szCs w:val="24"/>
          <w:u w:val="single"/>
        </w:rPr>
        <w:t>D</w:t>
      </w:r>
      <w:r w:rsidR="00E12F88" w:rsidRPr="004053F5">
        <w:rPr>
          <w:rFonts w:ascii="Times New Roman" w:hAnsi="Times New Roman" w:cs="Times New Roman"/>
          <w:b/>
          <w:szCs w:val="24"/>
          <w:u w:val="single"/>
        </w:rPr>
        <w:t xml:space="preserve">erivatives </w:t>
      </w:r>
      <w:r w:rsidRPr="004053F5">
        <w:rPr>
          <w:rFonts w:ascii="Times New Roman" w:hAnsi="Times New Roman" w:cs="Times New Roman"/>
          <w:b/>
          <w:szCs w:val="24"/>
          <w:u w:val="single"/>
        </w:rPr>
        <w:t>L</w:t>
      </w:r>
      <w:r w:rsidR="00E12F88" w:rsidRPr="004053F5">
        <w:rPr>
          <w:rFonts w:ascii="Times New Roman" w:hAnsi="Times New Roman" w:cs="Times New Roman"/>
          <w:b/>
          <w:szCs w:val="24"/>
          <w:u w:val="single"/>
        </w:rPr>
        <w:t xml:space="preserve">icensing </w:t>
      </w:r>
      <w:r w:rsidRPr="004053F5">
        <w:rPr>
          <w:rFonts w:ascii="Times New Roman" w:hAnsi="Times New Roman" w:cs="Times New Roman"/>
          <w:b/>
          <w:szCs w:val="24"/>
          <w:u w:val="single"/>
        </w:rPr>
        <w:t>R</w:t>
      </w:r>
      <w:r w:rsidR="00E12F88" w:rsidRPr="004053F5">
        <w:rPr>
          <w:rFonts w:ascii="Times New Roman" w:hAnsi="Times New Roman" w:cs="Times New Roman"/>
          <w:b/>
          <w:szCs w:val="24"/>
          <w:u w:val="single"/>
        </w:rPr>
        <w:t>egime</w:t>
      </w:r>
      <w:r w:rsidR="00DA6D01" w:rsidRPr="004053F5">
        <w:rPr>
          <w:rFonts w:ascii="Times New Roman" w:hAnsi="Times New Roman" w:cs="Times New Roman"/>
          <w:b/>
          <w:szCs w:val="24"/>
          <w:u w:val="single"/>
        </w:rPr>
        <w:t xml:space="preserve"> (Issued on June 10, 2020)</w:t>
      </w:r>
    </w:p>
    <w:p w:rsidR="00E12F88" w:rsidRPr="004053F5" w:rsidRDefault="00E12F88" w:rsidP="00C6529E">
      <w:pPr>
        <w:contextualSpacing/>
        <w:jc w:val="both"/>
        <w:rPr>
          <w:rFonts w:ascii="Times New Roman" w:hAnsi="Times New Roman" w:cs="Times New Roman"/>
          <w:szCs w:val="24"/>
        </w:rPr>
      </w:pPr>
    </w:p>
    <w:p w:rsidR="004053F5" w:rsidRDefault="004053F5" w:rsidP="00C6529E">
      <w:pPr>
        <w:contextualSpacing/>
        <w:jc w:val="both"/>
        <w:rPr>
          <w:rFonts w:ascii="Times New Roman" w:hAnsi="Times New Roman" w:cs="Times New Roman"/>
          <w:b/>
          <w:szCs w:val="24"/>
          <w:u w:val="single"/>
        </w:rPr>
      </w:pPr>
      <w:r w:rsidRPr="00FD3978">
        <w:rPr>
          <w:rFonts w:ascii="Times New Roman" w:hAnsi="Times New Roman" w:cs="Times New Roman"/>
          <w:b/>
          <w:szCs w:val="24"/>
          <w:u w:val="single"/>
        </w:rPr>
        <w:t>Background</w:t>
      </w:r>
    </w:p>
    <w:p w:rsidR="004053F5" w:rsidRPr="00FD3978" w:rsidRDefault="004053F5" w:rsidP="00C6529E">
      <w:pPr>
        <w:contextualSpacing/>
        <w:jc w:val="both"/>
        <w:rPr>
          <w:rFonts w:ascii="Times New Roman" w:hAnsi="Times New Roman" w:cs="Times New Roman"/>
          <w:b/>
          <w:szCs w:val="24"/>
          <w:u w:val="single"/>
        </w:rPr>
      </w:pPr>
    </w:p>
    <w:p w:rsidR="00C64E7E" w:rsidRPr="004053F5" w:rsidRDefault="00C64E7E" w:rsidP="00C64E7E">
      <w:pPr>
        <w:contextualSpacing/>
        <w:jc w:val="both"/>
        <w:rPr>
          <w:rFonts w:ascii="Times New Roman" w:hAnsi="Times New Roman" w:cs="Times New Roman"/>
          <w:szCs w:val="24"/>
        </w:rPr>
      </w:pPr>
      <w:r w:rsidRPr="004053F5">
        <w:rPr>
          <w:rFonts w:ascii="Times New Roman" w:hAnsi="Times New Roman" w:cs="Times New Roman"/>
          <w:szCs w:val="24"/>
        </w:rPr>
        <w:t xml:space="preserve">On December 20, 2017, the Securities and Futures Commission (“SFC”) issued a consultation paper on the over-the-counter (“OTC”) derivatives regime for Hong Kong </w:t>
      </w:r>
      <w:r w:rsidR="00736366" w:rsidRPr="004053F5">
        <w:rPr>
          <w:rFonts w:ascii="Times New Roman" w:hAnsi="Times New Roman" w:cs="Times New Roman"/>
          <w:szCs w:val="24"/>
        </w:rPr>
        <w:t xml:space="preserve">(“Consultation Paper”) </w:t>
      </w:r>
      <w:r w:rsidRPr="004053F5">
        <w:rPr>
          <w:rFonts w:ascii="Times New Roman" w:hAnsi="Times New Roman" w:cs="Times New Roman"/>
          <w:szCs w:val="24"/>
        </w:rPr>
        <w:t>which proposed refinements to the sc</w:t>
      </w:r>
      <w:r w:rsidR="00736366" w:rsidRPr="004053F5">
        <w:rPr>
          <w:rFonts w:ascii="Times New Roman" w:hAnsi="Times New Roman" w:cs="Times New Roman"/>
          <w:szCs w:val="24"/>
        </w:rPr>
        <w:t xml:space="preserve">ope of regulated activities as well as other </w:t>
      </w:r>
      <w:r w:rsidRPr="004053F5">
        <w:rPr>
          <w:rFonts w:ascii="Times New Roman" w:hAnsi="Times New Roman" w:cs="Times New Roman"/>
          <w:szCs w:val="24"/>
        </w:rPr>
        <w:t>requirements.</w:t>
      </w:r>
      <w:r w:rsidR="00736366" w:rsidRPr="004053F5">
        <w:rPr>
          <w:rFonts w:ascii="Times New Roman" w:hAnsi="Times New Roman" w:cs="Times New Roman"/>
          <w:szCs w:val="24"/>
        </w:rPr>
        <w:t xml:space="preserve"> </w:t>
      </w:r>
      <w:r w:rsidRPr="004053F5">
        <w:rPr>
          <w:rFonts w:ascii="Times New Roman" w:hAnsi="Times New Roman" w:cs="Times New Roman"/>
          <w:szCs w:val="24"/>
        </w:rPr>
        <w:t xml:space="preserve">A </w:t>
      </w:r>
      <w:r w:rsidR="00736366" w:rsidRPr="004053F5">
        <w:rPr>
          <w:rFonts w:ascii="Times New Roman" w:hAnsi="Times New Roman" w:cs="Times New Roman"/>
          <w:szCs w:val="24"/>
        </w:rPr>
        <w:t xml:space="preserve">prior </w:t>
      </w:r>
      <w:r w:rsidRPr="004053F5">
        <w:rPr>
          <w:rFonts w:ascii="Times New Roman" w:hAnsi="Times New Roman" w:cs="Times New Roman"/>
          <w:szCs w:val="24"/>
        </w:rPr>
        <w:t>consultation conclusions paper on the proposed requirements under the Code of Conduct for Persons Licensed by or Registered with the Securities and Futures Commission was issued in December 2018.</w:t>
      </w:r>
    </w:p>
    <w:p w:rsidR="00C64E7E" w:rsidRPr="004053F5" w:rsidRDefault="00C64E7E" w:rsidP="00C64E7E">
      <w:pPr>
        <w:contextualSpacing/>
        <w:jc w:val="both"/>
        <w:rPr>
          <w:rFonts w:ascii="Times New Roman" w:hAnsi="Times New Roman" w:cs="Times New Roman"/>
          <w:szCs w:val="24"/>
        </w:rPr>
      </w:pPr>
    </w:p>
    <w:p w:rsidR="00C64E7E" w:rsidRPr="004053F5" w:rsidRDefault="00C64E7E" w:rsidP="00C64E7E">
      <w:pPr>
        <w:contextualSpacing/>
        <w:jc w:val="both"/>
        <w:rPr>
          <w:rFonts w:ascii="Times New Roman" w:hAnsi="Times New Roman" w:cs="Times New Roman"/>
          <w:szCs w:val="24"/>
        </w:rPr>
      </w:pPr>
      <w:r w:rsidRPr="004053F5">
        <w:rPr>
          <w:rFonts w:ascii="Times New Roman" w:hAnsi="Times New Roman" w:cs="Times New Roman"/>
          <w:szCs w:val="24"/>
        </w:rPr>
        <w:t>This consultation conclusions paper</w:t>
      </w:r>
      <w:r w:rsidR="00601E3A">
        <w:rPr>
          <w:rFonts w:ascii="Times New Roman" w:hAnsi="Times New Roman" w:cs="Times New Roman"/>
          <w:szCs w:val="24"/>
        </w:rPr>
        <w:t xml:space="preserve"> (“Conclusions”)</w:t>
      </w:r>
      <w:r w:rsidRPr="004053F5">
        <w:rPr>
          <w:rFonts w:ascii="Times New Roman" w:hAnsi="Times New Roman" w:cs="Times New Roman"/>
          <w:szCs w:val="24"/>
        </w:rPr>
        <w:t xml:space="preserve"> covers the proposed refinements to the scope of the regulated activities (“RAs”) under the OTC derivatives licensing regime, as well as the proposed competence and continuous professional training (“CPT”) requirements under the OTC derivatives licensing regime.</w:t>
      </w:r>
    </w:p>
    <w:p w:rsidR="00393B8A" w:rsidRDefault="00393B8A" w:rsidP="00C6529E">
      <w:pPr>
        <w:contextualSpacing/>
        <w:jc w:val="both"/>
        <w:rPr>
          <w:rFonts w:ascii="Times New Roman" w:hAnsi="Times New Roman" w:cs="Times New Roman"/>
          <w:szCs w:val="24"/>
        </w:rPr>
      </w:pPr>
    </w:p>
    <w:p w:rsidR="00C908CA" w:rsidRDefault="00C908CA" w:rsidP="00C6529E">
      <w:pPr>
        <w:contextualSpacing/>
        <w:jc w:val="both"/>
        <w:rPr>
          <w:rFonts w:ascii="Times New Roman" w:hAnsi="Times New Roman" w:cs="Times New Roman"/>
          <w:b/>
          <w:szCs w:val="24"/>
          <w:u w:val="single"/>
        </w:rPr>
      </w:pPr>
      <w:r w:rsidRPr="00FD3978">
        <w:rPr>
          <w:rFonts w:ascii="Times New Roman" w:hAnsi="Times New Roman" w:cs="Times New Roman"/>
          <w:b/>
          <w:szCs w:val="24"/>
          <w:u w:val="single"/>
        </w:rPr>
        <w:t>Refinements to the scope of the RAs</w:t>
      </w:r>
    </w:p>
    <w:p w:rsidR="00C908CA" w:rsidRPr="00FD3978" w:rsidRDefault="00C908CA" w:rsidP="00C6529E">
      <w:pPr>
        <w:contextualSpacing/>
        <w:jc w:val="both"/>
        <w:rPr>
          <w:rFonts w:ascii="Times New Roman" w:hAnsi="Times New Roman" w:cs="Times New Roman"/>
          <w:szCs w:val="24"/>
          <w:u w:val="single"/>
        </w:rPr>
      </w:pPr>
    </w:p>
    <w:p w:rsidR="00E12F88" w:rsidRPr="00FD3978" w:rsidRDefault="00C6529E" w:rsidP="00B722DB">
      <w:pPr>
        <w:pStyle w:val="ListParagraph"/>
        <w:numPr>
          <w:ilvl w:val="0"/>
          <w:numId w:val="8"/>
        </w:numPr>
        <w:ind w:leftChars="0"/>
        <w:contextualSpacing/>
        <w:jc w:val="both"/>
        <w:rPr>
          <w:rFonts w:ascii="Times New Roman" w:hAnsi="Times New Roman" w:cs="Times New Roman"/>
          <w:i/>
          <w:szCs w:val="24"/>
          <w:u w:val="single"/>
        </w:rPr>
      </w:pPr>
      <w:r w:rsidRPr="00FD3978">
        <w:rPr>
          <w:rFonts w:ascii="Times New Roman" w:hAnsi="Times New Roman" w:cs="Times New Roman"/>
          <w:i/>
          <w:szCs w:val="24"/>
          <w:u w:val="single"/>
        </w:rPr>
        <w:t xml:space="preserve">Corporate Treasury </w:t>
      </w:r>
      <w:r w:rsidR="008E0354" w:rsidRPr="00FD3978">
        <w:rPr>
          <w:rFonts w:ascii="Times New Roman" w:hAnsi="Times New Roman" w:cs="Times New Roman"/>
          <w:i/>
          <w:szCs w:val="24"/>
          <w:u w:val="single"/>
        </w:rPr>
        <w:t>A</w:t>
      </w:r>
      <w:r w:rsidRPr="00FD3978">
        <w:rPr>
          <w:rFonts w:ascii="Times New Roman" w:hAnsi="Times New Roman" w:cs="Times New Roman"/>
          <w:i/>
          <w:szCs w:val="24"/>
          <w:u w:val="single"/>
        </w:rPr>
        <w:t>ctivities</w:t>
      </w:r>
    </w:p>
    <w:p w:rsidR="00C6529E" w:rsidRPr="004053F5" w:rsidRDefault="00C6529E" w:rsidP="00C6529E">
      <w:pPr>
        <w:contextualSpacing/>
        <w:jc w:val="both"/>
        <w:rPr>
          <w:rFonts w:ascii="Times New Roman" w:hAnsi="Times New Roman" w:cs="Times New Roman"/>
          <w:szCs w:val="24"/>
        </w:rPr>
      </w:pPr>
    </w:p>
    <w:p w:rsidR="00C6529E" w:rsidRDefault="007C0E47" w:rsidP="00C6529E">
      <w:pPr>
        <w:contextualSpacing/>
        <w:jc w:val="both"/>
        <w:rPr>
          <w:rFonts w:ascii="Times New Roman" w:hAnsi="Times New Roman" w:cs="Times New Roman"/>
          <w:szCs w:val="24"/>
        </w:rPr>
      </w:pPr>
      <w:r w:rsidRPr="004053F5">
        <w:rPr>
          <w:rFonts w:ascii="Times New Roman" w:hAnsi="Times New Roman" w:cs="Times New Roman"/>
          <w:szCs w:val="24"/>
        </w:rPr>
        <w:t xml:space="preserve">The corporate treasury activities </w:t>
      </w:r>
      <w:r w:rsidR="00C641D0" w:rsidRPr="004053F5">
        <w:rPr>
          <w:rFonts w:ascii="Times New Roman" w:hAnsi="Times New Roman" w:cs="Times New Roman"/>
          <w:szCs w:val="24"/>
        </w:rPr>
        <w:t xml:space="preserve">of non-financial groups </w:t>
      </w:r>
      <w:r w:rsidR="00C0449E" w:rsidRPr="004053F5">
        <w:rPr>
          <w:rFonts w:ascii="Times New Roman" w:hAnsi="Times New Roman" w:cs="Times New Roman"/>
          <w:szCs w:val="24"/>
        </w:rPr>
        <w:t xml:space="preserve">provided to affiliates </w:t>
      </w:r>
      <w:r w:rsidR="00C641D0" w:rsidRPr="004053F5">
        <w:rPr>
          <w:rFonts w:ascii="Times New Roman" w:hAnsi="Times New Roman" w:cs="Times New Roman"/>
          <w:szCs w:val="24"/>
        </w:rPr>
        <w:t xml:space="preserve">will </w:t>
      </w:r>
      <w:r w:rsidR="006A0393" w:rsidRPr="004053F5">
        <w:rPr>
          <w:rFonts w:ascii="Times New Roman" w:hAnsi="Times New Roman" w:cs="Times New Roman"/>
          <w:szCs w:val="24"/>
        </w:rPr>
        <w:t xml:space="preserve">generally </w:t>
      </w:r>
      <w:r w:rsidR="00C641D0" w:rsidRPr="004053F5">
        <w:rPr>
          <w:rFonts w:ascii="Times New Roman" w:hAnsi="Times New Roman" w:cs="Times New Roman"/>
          <w:szCs w:val="24"/>
        </w:rPr>
        <w:t>be carved out entirely from the OTC derivatives licensing regime</w:t>
      </w:r>
      <w:r w:rsidR="00B06399" w:rsidRPr="004053F5">
        <w:rPr>
          <w:rFonts w:ascii="Times New Roman" w:hAnsi="Times New Roman" w:cs="Times New Roman"/>
          <w:szCs w:val="24"/>
        </w:rPr>
        <w:t xml:space="preserve"> (including expanded Type 9</w:t>
      </w:r>
      <w:r w:rsidR="00561DA0">
        <w:rPr>
          <w:rFonts w:ascii="Times New Roman" w:hAnsi="Times New Roman" w:cs="Times New Roman"/>
          <w:szCs w:val="24"/>
        </w:rPr>
        <w:t xml:space="preserve"> (Asset m</w:t>
      </w:r>
      <w:r w:rsidR="00BE44E4">
        <w:rPr>
          <w:rFonts w:ascii="Times New Roman" w:hAnsi="Times New Roman" w:cs="Times New Roman"/>
          <w:szCs w:val="24"/>
        </w:rPr>
        <w:t>anagement)</w:t>
      </w:r>
      <w:r w:rsidR="00B06399" w:rsidRPr="004053F5">
        <w:rPr>
          <w:rFonts w:ascii="Times New Roman" w:hAnsi="Times New Roman" w:cs="Times New Roman"/>
          <w:szCs w:val="24"/>
        </w:rPr>
        <w:t>, Type 11</w:t>
      </w:r>
      <w:r w:rsidR="00BE44E4">
        <w:rPr>
          <w:rFonts w:ascii="Times New Roman" w:hAnsi="Times New Roman" w:cs="Times New Roman"/>
          <w:szCs w:val="24"/>
        </w:rPr>
        <w:t xml:space="preserve"> (</w:t>
      </w:r>
      <w:r w:rsidR="00561DA0">
        <w:rPr>
          <w:rFonts w:ascii="Times New Roman" w:hAnsi="Times New Roman" w:cs="Times New Roman"/>
          <w:szCs w:val="24"/>
        </w:rPr>
        <w:t>Dealing or advising in OTC d</w:t>
      </w:r>
      <w:r w:rsidR="00FD3978">
        <w:rPr>
          <w:rFonts w:ascii="Times New Roman" w:hAnsi="Times New Roman" w:cs="Times New Roman"/>
          <w:szCs w:val="24"/>
        </w:rPr>
        <w:t>erivative p</w:t>
      </w:r>
      <w:r w:rsidR="00BE44E4">
        <w:rPr>
          <w:rFonts w:ascii="Times New Roman" w:hAnsi="Times New Roman" w:cs="Times New Roman"/>
          <w:szCs w:val="24"/>
        </w:rPr>
        <w:t xml:space="preserve">roducts) </w:t>
      </w:r>
      <w:r w:rsidR="00B06399" w:rsidRPr="004053F5">
        <w:rPr>
          <w:rFonts w:ascii="Times New Roman" w:hAnsi="Times New Roman" w:cs="Times New Roman"/>
          <w:szCs w:val="24"/>
        </w:rPr>
        <w:t>and Type 12</w:t>
      </w:r>
      <w:r w:rsidR="00561DA0">
        <w:rPr>
          <w:rFonts w:ascii="Times New Roman" w:hAnsi="Times New Roman" w:cs="Times New Roman"/>
          <w:szCs w:val="24"/>
        </w:rPr>
        <w:t xml:space="preserve"> (Providing clearing agency services for OTC derivatives transactions)</w:t>
      </w:r>
      <w:r w:rsidR="00FD3978">
        <w:rPr>
          <w:rFonts w:ascii="Times New Roman" w:hAnsi="Times New Roman" w:cs="Times New Roman"/>
          <w:szCs w:val="24"/>
        </w:rPr>
        <w:t xml:space="preserve"> </w:t>
      </w:r>
      <w:r w:rsidR="00B06399" w:rsidRPr="004053F5">
        <w:rPr>
          <w:rFonts w:ascii="Times New Roman" w:hAnsi="Times New Roman" w:cs="Times New Roman"/>
          <w:szCs w:val="24"/>
        </w:rPr>
        <w:t>RAs)</w:t>
      </w:r>
      <w:r w:rsidR="00C641D0" w:rsidRPr="004053F5">
        <w:rPr>
          <w:rFonts w:ascii="Times New Roman" w:hAnsi="Times New Roman" w:cs="Times New Roman"/>
          <w:szCs w:val="24"/>
        </w:rPr>
        <w:t>, so long as they satisfy the criteria</w:t>
      </w:r>
      <w:r w:rsidR="006A0393" w:rsidRPr="004053F5">
        <w:rPr>
          <w:rFonts w:ascii="Times New Roman" w:hAnsi="Times New Roman" w:cs="Times New Roman"/>
          <w:szCs w:val="24"/>
        </w:rPr>
        <w:t xml:space="preserve"> (e.g. services provided to affiliates only)</w:t>
      </w:r>
      <w:r w:rsidR="00FF438A" w:rsidRPr="004053F5">
        <w:rPr>
          <w:rFonts w:ascii="Times New Roman" w:hAnsi="Times New Roman" w:cs="Times New Roman"/>
          <w:szCs w:val="24"/>
        </w:rPr>
        <w:t>, but may still</w:t>
      </w:r>
      <w:r w:rsidRPr="004053F5">
        <w:rPr>
          <w:rFonts w:ascii="Times New Roman" w:hAnsi="Times New Roman" w:cs="Times New Roman"/>
          <w:szCs w:val="24"/>
        </w:rPr>
        <w:t xml:space="preserve"> capture </w:t>
      </w:r>
      <w:r w:rsidR="00C0449E" w:rsidRPr="004053F5">
        <w:rPr>
          <w:rFonts w:ascii="Times New Roman" w:hAnsi="Times New Roman" w:cs="Times New Roman"/>
          <w:szCs w:val="24"/>
        </w:rPr>
        <w:t xml:space="preserve">corporate treasury </w:t>
      </w:r>
      <w:r w:rsidR="00FF438A" w:rsidRPr="004053F5">
        <w:rPr>
          <w:rFonts w:ascii="Times New Roman" w:hAnsi="Times New Roman" w:cs="Times New Roman"/>
          <w:szCs w:val="24"/>
        </w:rPr>
        <w:t xml:space="preserve">activities of </w:t>
      </w:r>
      <w:r w:rsidRPr="004053F5">
        <w:rPr>
          <w:rFonts w:ascii="Times New Roman" w:hAnsi="Times New Roman" w:cs="Times New Roman"/>
          <w:szCs w:val="24"/>
        </w:rPr>
        <w:t>financial groups.</w:t>
      </w:r>
      <w:r w:rsidR="00BE44E4">
        <w:rPr>
          <w:rFonts w:ascii="Times New Roman" w:hAnsi="Times New Roman" w:cs="Times New Roman"/>
          <w:szCs w:val="24"/>
        </w:rPr>
        <w:t xml:space="preserve"> The definition of “financial group” will include a group of companies primarily engaging in regulated activities, banking business or insurance business in Hong Kong or elsewhere. </w:t>
      </w:r>
    </w:p>
    <w:p w:rsidR="00690917" w:rsidRDefault="00690917" w:rsidP="00C6529E">
      <w:pPr>
        <w:contextualSpacing/>
        <w:jc w:val="both"/>
        <w:rPr>
          <w:rFonts w:ascii="Times New Roman" w:hAnsi="Times New Roman" w:cs="Times New Roman"/>
          <w:szCs w:val="24"/>
        </w:rPr>
      </w:pPr>
    </w:p>
    <w:p w:rsidR="00690917" w:rsidRDefault="00690917" w:rsidP="00C6529E">
      <w:pPr>
        <w:contextualSpacing/>
        <w:jc w:val="both"/>
        <w:rPr>
          <w:rFonts w:ascii="Times New Roman" w:hAnsi="Times New Roman" w:cs="Times New Roman"/>
          <w:szCs w:val="24"/>
        </w:rPr>
      </w:pPr>
    </w:p>
    <w:p w:rsidR="00690917" w:rsidRDefault="00690917" w:rsidP="00C6529E">
      <w:pPr>
        <w:contextualSpacing/>
        <w:jc w:val="both"/>
        <w:rPr>
          <w:rFonts w:ascii="Times New Roman" w:hAnsi="Times New Roman" w:cs="Times New Roman"/>
          <w:szCs w:val="24"/>
        </w:rPr>
      </w:pPr>
    </w:p>
    <w:p w:rsidR="00690917" w:rsidRDefault="00690917" w:rsidP="00C6529E">
      <w:pPr>
        <w:contextualSpacing/>
        <w:jc w:val="both"/>
        <w:rPr>
          <w:rFonts w:ascii="Times New Roman" w:hAnsi="Times New Roman" w:cs="Times New Roman"/>
          <w:szCs w:val="24"/>
        </w:rPr>
      </w:pPr>
    </w:p>
    <w:p w:rsidR="00690917" w:rsidRDefault="00690917" w:rsidP="00C6529E">
      <w:pPr>
        <w:contextualSpacing/>
        <w:jc w:val="both"/>
        <w:rPr>
          <w:rFonts w:ascii="Times New Roman" w:hAnsi="Times New Roman" w:cs="Times New Roman"/>
          <w:szCs w:val="24"/>
        </w:rPr>
      </w:pPr>
    </w:p>
    <w:p w:rsidR="00690917" w:rsidRDefault="00690917" w:rsidP="00C6529E">
      <w:pPr>
        <w:contextualSpacing/>
        <w:jc w:val="both"/>
        <w:rPr>
          <w:rFonts w:ascii="Times New Roman" w:hAnsi="Times New Roman" w:cs="Times New Roman"/>
          <w:szCs w:val="24"/>
        </w:rPr>
      </w:pPr>
    </w:p>
    <w:p w:rsidR="00FD3978" w:rsidRDefault="00FD3978" w:rsidP="00C6529E">
      <w:pPr>
        <w:contextualSpacing/>
        <w:jc w:val="both"/>
        <w:rPr>
          <w:rFonts w:ascii="Times New Roman" w:hAnsi="Times New Roman" w:cs="Times New Roman"/>
          <w:szCs w:val="24"/>
        </w:rPr>
      </w:pPr>
    </w:p>
    <w:p w:rsidR="00690917" w:rsidRPr="004053F5" w:rsidRDefault="00690917" w:rsidP="00C6529E">
      <w:pPr>
        <w:contextualSpacing/>
        <w:jc w:val="both"/>
        <w:rPr>
          <w:rFonts w:ascii="Times New Roman" w:hAnsi="Times New Roman" w:cs="Times New Roman"/>
          <w:szCs w:val="24"/>
        </w:rPr>
      </w:pPr>
    </w:p>
    <w:p w:rsidR="00C6529E" w:rsidRPr="00FD3978" w:rsidRDefault="00C6529E" w:rsidP="00B722DB">
      <w:pPr>
        <w:pStyle w:val="ListParagraph"/>
        <w:numPr>
          <w:ilvl w:val="0"/>
          <w:numId w:val="8"/>
        </w:numPr>
        <w:ind w:leftChars="0"/>
        <w:contextualSpacing/>
        <w:jc w:val="both"/>
        <w:rPr>
          <w:rFonts w:ascii="Times New Roman" w:hAnsi="Times New Roman" w:cs="Times New Roman"/>
          <w:i/>
          <w:szCs w:val="24"/>
          <w:u w:val="single"/>
        </w:rPr>
      </w:pPr>
      <w:r w:rsidRPr="00FD3978">
        <w:rPr>
          <w:rFonts w:ascii="Times New Roman" w:hAnsi="Times New Roman" w:cs="Times New Roman"/>
          <w:i/>
          <w:szCs w:val="24"/>
          <w:u w:val="single"/>
        </w:rPr>
        <w:t xml:space="preserve">Activities of </w:t>
      </w:r>
      <w:r w:rsidR="008E0354" w:rsidRPr="00FD3978">
        <w:rPr>
          <w:rFonts w:ascii="Times New Roman" w:hAnsi="Times New Roman" w:cs="Times New Roman"/>
          <w:i/>
          <w:szCs w:val="24"/>
          <w:u w:val="single"/>
        </w:rPr>
        <w:t>P</w:t>
      </w:r>
      <w:r w:rsidRPr="00FD3978">
        <w:rPr>
          <w:rFonts w:ascii="Times New Roman" w:hAnsi="Times New Roman" w:cs="Times New Roman"/>
          <w:i/>
          <w:szCs w:val="24"/>
          <w:u w:val="single"/>
        </w:rPr>
        <w:t xml:space="preserve">roviders of </w:t>
      </w:r>
      <w:r w:rsidR="008E0354" w:rsidRPr="00FD3978">
        <w:rPr>
          <w:rFonts w:ascii="Times New Roman" w:hAnsi="Times New Roman" w:cs="Times New Roman"/>
          <w:i/>
          <w:szCs w:val="24"/>
          <w:u w:val="single"/>
        </w:rPr>
        <w:t>P</w:t>
      </w:r>
      <w:r w:rsidRPr="00FD3978">
        <w:rPr>
          <w:rFonts w:ascii="Times New Roman" w:hAnsi="Times New Roman" w:cs="Times New Roman"/>
          <w:i/>
          <w:szCs w:val="24"/>
          <w:u w:val="single"/>
        </w:rPr>
        <w:t xml:space="preserve">ost-trade </w:t>
      </w:r>
      <w:r w:rsidR="008E0354" w:rsidRPr="00FD3978">
        <w:rPr>
          <w:rFonts w:ascii="Times New Roman" w:hAnsi="Times New Roman" w:cs="Times New Roman"/>
          <w:i/>
          <w:szCs w:val="24"/>
          <w:u w:val="single"/>
        </w:rPr>
        <w:t>M</w:t>
      </w:r>
      <w:r w:rsidRPr="00FD3978">
        <w:rPr>
          <w:rFonts w:ascii="Times New Roman" w:hAnsi="Times New Roman" w:cs="Times New Roman"/>
          <w:i/>
          <w:szCs w:val="24"/>
          <w:u w:val="single"/>
        </w:rPr>
        <w:t xml:space="preserve">ultilateral </w:t>
      </w:r>
      <w:r w:rsidR="008E0354" w:rsidRPr="00FD3978">
        <w:rPr>
          <w:rFonts w:ascii="Times New Roman" w:hAnsi="Times New Roman" w:cs="Times New Roman"/>
          <w:i/>
          <w:szCs w:val="24"/>
          <w:u w:val="single"/>
        </w:rPr>
        <w:t>P</w:t>
      </w:r>
      <w:r w:rsidRPr="00FD3978">
        <w:rPr>
          <w:rFonts w:ascii="Times New Roman" w:hAnsi="Times New Roman" w:cs="Times New Roman"/>
          <w:i/>
          <w:szCs w:val="24"/>
          <w:u w:val="single"/>
        </w:rPr>
        <w:t xml:space="preserve">ortfolio </w:t>
      </w:r>
      <w:r w:rsidR="008E0354" w:rsidRPr="00FD3978">
        <w:rPr>
          <w:rFonts w:ascii="Times New Roman" w:hAnsi="Times New Roman" w:cs="Times New Roman"/>
          <w:i/>
          <w:szCs w:val="24"/>
          <w:u w:val="single"/>
        </w:rPr>
        <w:t>C</w:t>
      </w:r>
      <w:r w:rsidRPr="00FD3978">
        <w:rPr>
          <w:rFonts w:ascii="Times New Roman" w:hAnsi="Times New Roman" w:cs="Times New Roman"/>
          <w:i/>
          <w:szCs w:val="24"/>
          <w:u w:val="single"/>
        </w:rPr>
        <w:t xml:space="preserve">ompression </w:t>
      </w:r>
      <w:r w:rsidR="008E0354" w:rsidRPr="00FD3978">
        <w:rPr>
          <w:rFonts w:ascii="Times New Roman" w:hAnsi="Times New Roman" w:cs="Times New Roman"/>
          <w:i/>
          <w:szCs w:val="24"/>
          <w:u w:val="single"/>
        </w:rPr>
        <w:t>S</w:t>
      </w:r>
      <w:r w:rsidRPr="00FD3978">
        <w:rPr>
          <w:rFonts w:ascii="Times New Roman" w:hAnsi="Times New Roman" w:cs="Times New Roman"/>
          <w:i/>
          <w:szCs w:val="24"/>
          <w:u w:val="single"/>
        </w:rPr>
        <w:t>ervices</w:t>
      </w:r>
    </w:p>
    <w:p w:rsidR="00C6529E" w:rsidRPr="004053F5" w:rsidRDefault="00C6529E" w:rsidP="00C6529E">
      <w:pPr>
        <w:contextualSpacing/>
        <w:jc w:val="both"/>
        <w:rPr>
          <w:rFonts w:ascii="Times New Roman" w:hAnsi="Times New Roman" w:cs="Times New Roman"/>
          <w:szCs w:val="24"/>
        </w:rPr>
      </w:pPr>
    </w:p>
    <w:p w:rsidR="00690917" w:rsidRDefault="000F4254" w:rsidP="000F4254">
      <w:pPr>
        <w:contextualSpacing/>
        <w:jc w:val="both"/>
        <w:rPr>
          <w:rFonts w:ascii="Times New Roman" w:hAnsi="Times New Roman" w:cs="Times New Roman"/>
          <w:szCs w:val="24"/>
        </w:rPr>
      </w:pPr>
      <w:r w:rsidRPr="000F4254">
        <w:rPr>
          <w:rFonts w:ascii="Times New Roman" w:hAnsi="Times New Roman" w:cs="Times New Roman"/>
          <w:szCs w:val="24"/>
        </w:rPr>
        <w:t>Multilateral portfolio compression is a risk mitigation measure</w:t>
      </w:r>
      <w:r>
        <w:rPr>
          <w:rFonts w:ascii="Times New Roman" w:hAnsi="Times New Roman" w:cs="Times New Roman"/>
          <w:szCs w:val="24"/>
        </w:rPr>
        <w:t xml:space="preserve"> aims to </w:t>
      </w:r>
      <w:r w:rsidRPr="000F4254">
        <w:rPr>
          <w:rFonts w:ascii="Times New Roman" w:hAnsi="Times New Roman" w:cs="Times New Roman"/>
          <w:szCs w:val="24"/>
        </w:rPr>
        <w:t>calculate which transactions can be terminated, modified or replaced using the compression algorithms under certain criteria and set forth the calculation results for participants of the compression cycle to consider</w:t>
      </w:r>
      <w:r>
        <w:rPr>
          <w:rFonts w:ascii="Times New Roman" w:hAnsi="Times New Roman" w:cs="Times New Roman"/>
          <w:szCs w:val="24"/>
        </w:rPr>
        <w:t xml:space="preserve">. Given that users of such </w:t>
      </w:r>
      <w:r w:rsidRPr="000F4254">
        <w:rPr>
          <w:rFonts w:ascii="Times New Roman" w:hAnsi="Times New Roman" w:cs="Times New Roman"/>
          <w:szCs w:val="24"/>
        </w:rPr>
        <w:t xml:space="preserve">services are large market participants with sizeable OTC </w:t>
      </w:r>
    </w:p>
    <w:p w:rsidR="00690917" w:rsidRDefault="00690917" w:rsidP="000F4254">
      <w:pPr>
        <w:contextualSpacing/>
        <w:jc w:val="both"/>
        <w:rPr>
          <w:rFonts w:ascii="Times New Roman" w:hAnsi="Times New Roman" w:cs="Times New Roman"/>
          <w:szCs w:val="24"/>
        </w:rPr>
      </w:pPr>
    </w:p>
    <w:p w:rsidR="000F4254" w:rsidRPr="004053F5" w:rsidRDefault="000F4254" w:rsidP="000F4254">
      <w:pPr>
        <w:contextualSpacing/>
        <w:jc w:val="both"/>
        <w:rPr>
          <w:rFonts w:ascii="Times New Roman" w:hAnsi="Times New Roman" w:cs="Times New Roman"/>
          <w:szCs w:val="24"/>
        </w:rPr>
      </w:pPr>
      <w:r w:rsidRPr="000F4254">
        <w:rPr>
          <w:rFonts w:ascii="Times New Roman" w:hAnsi="Times New Roman" w:cs="Times New Roman"/>
          <w:szCs w:val="24"/>
        </w:rPr>
        <w:t xml:space="preserve">derivative portfolios </w:t>
      </w:r>
      <w:r>
        <w:rPr>
          <w:rFonts w:ascii="Times New Roman" w:hAnsi="Times New Roman" w:cs="Times New Roman"/>
          <w:szCs w:val="24"/>
        </w:rPr>
        <w:t xml:space="preserve">who should </w:t>
      </w:r>
      <w:r w:rsidRPr="000F4254">
        <w:rPr>
          <w:rFonts w:ascii="Times New Roman" w:hAnsi="Times New Roman" w:cs="Times New Roman"/>
          <w:szCs w:val="24"/>
        </w:rPr>
        <w:t>have the expertise and internal risk management capabilities to evaluate the results calculated by the service providers and detect any errors</w:t>
      </w:r>
      <w:r>
        <w:rPr>
          <w:rFonts w:ascii="Times New Roman" w:hAnsi="Times New Roman" w:cs="Times New Roman"/>
          <w:szCs w:val="24"/>
        </w:rPr>
        <w:t>, the SFC is of the view that t</w:t>
      </w:r>
      <w:r w:rsidRPr="004053F5">
        <w:rPr>
          <w:rFonts w:ascii="Times New Roman" w:hAnsi="Times New Roman" w:cs="Times New Roman"/>
          <w:szCs w:val="24"/>
        </w:rPr>
        <w:t>he activities of providers of multilateral portfolio compression services will generally be carved-out from Type 11 RA.</w:t>
      </w:r>
    </w:p>
    <w:p w:rsidR="00C6529E" w:rsidRPr="004053F5" w:rsidRDefault="00C6529E" w:rsidP="00C6529E">
      <w:pPr>
        <w:contextualSpacing/>
        <w:jc w:val="both"/>
        <w:rPr>
          <w:rFonts w:ascii="Times New Roman" w:hAnsi="Times New Roman" w:cs="Times New Roman"/>
          <w:szCs w:val="24"/>
        </w:rPr>
      </w:pPr>
    </w:p>
    <w:p w:rsidR="00C6529E" w:rsidRPr="00FD3978" w:rsidRDefault="00C6529E" w:rsidP="00B722DB">
      <w:pPr>
        <w:pStyle w:val="ListParagraph"/>
        <w:numPr>
          <w:ilvl w:val="0"/>
          <w:numId w:val="8"/>
        </w:numPr>
        <w:ind w:leftChars="0"/>
        <w:contextualSpacing/>
        <w:jc w:val="both"/>
        <w:rPr>
          <w:rFonts w:ascii="Times New Roman" w:hAnsi="Times New Roman" w:cs="Times New Roman"/>
          <w:i/>
          <w:szCs w:val="24"/>
          <w:u w:val="single"/>
        </w:rPr>
      </w:pPr>
      <w:r w:rsidRPr="00FD3978">
        <w:rPr>
          <w:rFonts w:ascii="Times New Roman" w:hAnsi="Times New Roman" w:cs="Times New Roman"/>
          <w:i/>
          <w:szCs w:val="24"/>
          <w:u w:val="single"/>
        </w:rPr>
        <w:t xml:space="preserve">Provision of </w:t>
      </w:r>
      <w:r w:rsidR="00A44E26" w:rsidRPr="00FD3978">
        <w:rPr>
          <w:rFonts w:ascii="Times New Roman" w:hAnsi="Times New Roman" w:cs="Times New Roman"/>
          <w:i/>
          <w:szCs w:val="24"/>
          <w:u w:val="single"/>
        </w:rPr>
        <w:t>C</w:t>
      </w:r>
      <w:r w:rsidRPr="00FD3978">
        <w:rPr>
          <w:rFonts w:ascii="Times New Roman" w:hAnsi="Times New Roman" w:cs="Times New Roman"/>
          <w:i/>
          <w:szCs w:val="24"/>
          <w:u w:val="single"/>
        </w:rPr>
        <w:t xml:space="preserve">ompression </w:t>
      </w:r>
      <w:r w:rsidR="00A44E26" w:rsidRPr="00FD3978">
        <w:rPr>
          <w:rFonts w:ascii="Times New Roman" w:hAnsi="Times New Roman" w:cs="Times New Roman"/>
          <w:i/>
          <w:szCs w:val="24"/>
          <w:u w:val="single"/>
        </w:rPr>
        <w:t>S</w:t>
      </w:r>
      <w:r w:rsidRPr="00FD3978">
        <w:rPr>
          <w:rFonts w:ascii="Times New Roman" w:hAnsi="Times New Roman" w:cs="Times New Roman"/>
          <w:i/>
          <w:szCs w:val="24"/>
          <w:u w:val="single"/>
        </w:rPr>
        <w:t xml:space="preserve">ervices by </w:t>
      </w:r>
      <w:r w:rsidR="00A44E26" w:rsidRPr="00FD3978">
        <w:rPr>
          <w:rFonts w:ascii="Times New Roman" w:hAnsi="Times New Roman" w:cs="Times New Roman"/>
          <w:i/>
          <w:szCs w:val="24"/>
          <w:u w:val="single"/>
        </w:rPr>
        <w:t>Central Clearing Counterparties (“</w:t>
      </w:r>
      <w:r w:rsidRPr="00FD3978">
        <w:rPr>
          <w:rFonts w:ascii="Times New Roman" w:hAnsi="Times New Roman" w:cs="Times New Roman"/>
          <w:i/>
          <w:szCs w:val="24"/>
          <w:u w:val="single"/>
        </w:rPr>
        <w:t>CCPs</w:t>
      </w:r>
      <w:r w:rsidR="00A44E26" w:rsidRPr="00FD3978">
        <w:rPr>
          <w:rFonts w:ascii="Times New Roman" w:hAnsi="Times New Roman" w:cs="Times New Roman"/>
          <w:i/>
          <w:szCs w:val="24"/>
          <w:u w:val="single"/>
        </w:rPr>
        <w:t>”)</w:t>
      </w:r>
      <w:r w:rsidRPr="00FD3978">
        <w:rPr>
          <w:rFonts w:ascii="Times New Roman" w:hAnsi="Times New Roman" w:cs="Times New Roman"/>
          <w:i/>
          <w:szCs w:val="24"/>
          <w:u w:val="single"/>
        </w:rPr>
        <w:t xml:space="preserve"> and </w:t>
      </w:r>
      <w:r w:rsidR="00A44E26" w:rsidRPr="00FD3978">
        <w:rPr>
          <w:rFonts w:ascii="Times New Roman" w:hAnsi="Times New Roman" w:cs="Times New Roman"/>
          <w:i/>
          <w:szCs w:val="24"/>
          <w:u w:val="single"/>
        </w:rPr>
        <w:t>P</w:t>
      </w:r>
      <w:r w:rsidRPr="00FD3978">
        <w:rPr>
          <w:rFonts w:ascii="Times New Roman" w:hAnsi="Times New Roman" w:cs="Times New Roman"/>
          <w:i/>
          <w:szCs w:val="24"/>
          <w:u w:val="single"/>
        </w:rPr>
        <w:t xml:space="preserve">roviders of </w:t>
      </w:r>
      <w:r w:rsidR="00A44E26" w:rsidRPr="00FD3978">
        <w:rPr>
          <w:rFonts w:ascii="Times New Roman" w:hAnsi="Times New Roman" w:cs="Times New Roman"/>
          <w:i/>
          <w:szCs w:val="24"/>
          <w:u w:val="single"/>
        </w:rPr>
        <w:t>C</w:t>
      </w:r>
      <w:r w:rsidRPr="00FD3978">
        <w:rPr>
          <w:rFonts w:ascii="Times New Roman" w:hAnsi="Times New Roman" w:cs="Times New Roman"/>
          <w:i/>
          <w:szCs w:val="24"/>
          <w:u w:val="single"/>
        </w:rPr>
        <w:t xml:space="preserve">lient </w:t>
      </w:r>
      <w:r w:rsidR="00A44E26" w:rsidRPr="00FD3978">
        <w:rPr>
          <w:rFonts w:ascii="Times New Roman" w:hAnsi="Times New Roman" w:cs="Times New Roman"/>
          <w:i/>
          <w:szCs w:val="24"/>
          <w:u w:val="single"/>
        </w:rPr>
        <w:t>C</w:t>
      </w:r>
      <w:r w:rsidRPr="00FD3978">
        <w:rPr>
          <w:rFonts w:ascii="Times New Roman" w:hAnsi="Times New Roman" w:cs="Times New Roman"/>
          <w:i/>
          <w:szCs w:val="24"/>
          <w:u w:val="single"/>
        </w:rPr>
        <w:t xml:space="preserve">learing </w:t>
      </w:r>
      <w:r w:rsidR="00A44E26" w:rsidRPr="00FD3978">
        <w:rPr>
          <w:rFonts w:ascii="Times New Roman" w:hAnsi="Times New Roman" w:cs="Times New Roman"/>
          <w:i/>
          <w:szCs w:val="24"/>
          <w:u w:val="single"/>
        </w:rPr>
        <w:t>S</w:t>
      </w:r>
      <w:r w:rsidRPr="00FD3978">
        <w:rPr>
          <w:rFonts w:ascii="Times New Roman" w:hAnsi="Times New Roman" w:cs="Times New Roman"/>
          <w:i/>
          <w:szCs w:val="24"/>
          <w:u w:val="single"/>
        </w:rPr>
        <w:t>ervices</w:t>
      </w:r>
    </w:p>
    <w:p w:rsidR="00C6529E" w:rsidRPr="004053F5" w:rsidRDefault="00C6529E" w:rsidP="00C6529E">
      <w:pPr>
        <w:contextualSpacing/>
        <w:jc w:val="both"/>
        <w:rPr>
          <w:rFonts w:ascii="Times New Roman" w:hAnsi="Times New Roman" w:cs="Times New Roman"/>
          <w:szCs w:val="24"/>
        </w:rPr>
      </w:pPr>
    </w:p>
    <w:p w:rsidR="00C6529E" w:rsidRPr="004053F5" w:rsidRDefault="00A44E26" w:rsidP="00C6529E">
      <w:pPr>
        <w:contextualSpacing/>
        <w:jc w:val="both"/>
        <w:rPr>
          <w:rFonts w:ascii="Times New Roman" w:hAnsi="Times New Roman" w:cs="Times New Roman"/>
          <w:szCs w:val="24"/>
        </w:rPr>
      </w:pPr>
      <w:r w:rsidRPr="004053F5">
        <w:rPr>
          <w:rFonts w:ascii="Times New Roman" w:hAnsi="Times New Roman" w:cs="Times New Roman"/>
          <w:szCs w:val="24"/>
        </w:rPr>
        <w:t xml:space="preserve">The scope of Type 11 RA will generally not capture portfolio compression services </w:t>
      </w:r>
      <w:r w:rsidR="00AA539F" w:rsidRPr="004053F5">
        <w:rPr>
          <w:rFonts w:ascii="Times New Roman" w:hAnsi="Times New Roman" w:cs="Times New Roman"/>
          <w:szCs w:val="24"/>
        </w:rPr>
        <w:t xml:space="preserve">(whether bilateral or multilateral) </w:t>
      </w:r>
      <w:r w:rsidRPr="004053F5">
        <w:rPr>
          <w:rFonts w:ascii="Times New Roman" w:hAnsi="Times New Roman" w:cs="Times New Roman"/>
          <w:szCs w:val="24"/>
        </w:rPr>
        <w:t>provided by a CCP or a provider of client clearing services as they are/will be sub</w:t>
      </w:r>
      <w:r w:rsidR="00AA539F" w:rsidRPr="004053F5">
        <w:rPr>
          <w:rFonts w:ascii="Times New Roman" w:hAnsi="Times New Roman" w:cs="Times New Roman"/>
          <w:szCs w:val="24"/>
        </w:rPr>
        <w:t>ject to appropriate regulations elsewhere.</w:t>
      </w:r>
    </w:p>
    <w:p w:rsidR="00C6529E" w:rsidRPr="004053F5" w:rsidRDefault="00C6529E" w:rsidP="00C6529E">
      <w:pPr>
        <w:contextualSpacing/>
        <w:jc w:val="both"/>
        <w:rPr>
          <w:rFonts w:ascii="Times New Roman" w:hAnsi="Times New Roman" w:cs="Times New Roman"/>
          <w:szCs w:val="24"/>
        </w:rPr>
      </w:pPr>
    </w:p>
    <w:p w:rsidR="00C6529E" w:rsidRPr="00FD3978" w:rsidRDefault="00C6529E" w:rsidP="00B722DB">
      <w:pPr>
        <w:pStyle w:val="ListParagraph"/>
        <w:numPr>
          <w:ilvl w:val="0"/>
          <w:numId w:val="8"/>
        </w:numPr>
        <w:ind w:leftChars="0"/>
        <w:contextualSpacing/>
        <w:jc w:val="both"/>
        <w:rPr>
          <w:rFonts w:ascii="Times New Roman" w:hAnsi="Times New Roman" w:cs="Times New Roman"/>
          <w:i/>
          <w:szCs w:val="24"/>
          <w:u w:val="single"/>
        </w:rPr>
      </w:pPr>
      <w:r w:rsidRPr="00FD3978">
        <w:rPr>
          <w:rFonts w:ascii="Times New Roman" w:hAnsi="Times New Roman" w:cs="Times New Roman"/>
          <w:i/>
          <w:szCs w:val="24"/>
          <w:u w:val="single"/>
        </w:rPr>
        <w:t xml:space="preserve">Activities of </w:t>
      </w:r>
      <w:r w:rsidR="00CF20F3" w:rsidRPr="00FD3978">
        <w:rPr>
          <w:rFonts w:ascii="Times New Roman" w:hAnsi="Times New Roman" w:cs="Times New Roman"/>
          <w:i/>
          <w:szCs w:val="24"/>
          <w:u w:val="single"/>
        </w:rPr>
        <w:t>O</w:t>
      </w:r>
      <w:r w:rsidRPr="00FD3978">
        <w:rPr>
          <w:rFonts w:ascii="Times New Roman" w:hAnsi="Times New Roman" w:cs="Times New Roman"/>
          <w:i/>
          <w:szCs w:val="24"/>
          <w:u w:val="single"/>
        </w:rPr>
        <w:t xml:space="preserve">verseas </w:t>
      </w:r>
      <w:r w:rsidR="00CF20F3" w:rsidRPr="00FD3978">
        <w:rPr>
          <w:rFonts w:ascii="Times New Roman" w:hAnsi="Times New Roman" w:cs="Times New Roman"/>
          <w:i/>
          <w:szCs w:val="24"/>
          <w:u w:val="single"/>
        </w:rPr>
        <w:t>C</w:t>
      </w:r>
      <w:r w:rsidRPr="00FD3978">
        <w:rPr>
          <w:rFonts w:ascii="Times New Roman" w:hAnsi="Times New Roman" w:cs="Times New Roman"/>
          <w:i/>
          <w:szCs w:val="24"/>
          <w:u w:val="single"/>
        </w:rPr>
        <w:t xml:space="preserve">learing </w:t>
      </w:r>
      <w:r w:rsidR="00CF20F3" w:rsidRPr="00FD3978">
        <w:rPr>
          <w:rFonts w:ascii="Times New Roman" w:hAnsi="Times New Roman" w:cs="Times New Roman"/>
          <w:i/>
          <w:szCs w:val="24"/>
          <w:u w:val="single"/>
        </w:rPr>
        <w:t>M</w:t>
      </w:r>
      <w:r w:rsidRPr="00FD3978">
        <w:rPr>
          <w:rFonts w:ascii="Times New Roman" w:hAnsi="Times New Roman" w:cs="Times New Roman"/>
          <w:i/>
          <w:szCs w:val="24"/>
          <w:u w:val="single"/>
        </w:rPr>
        <w:t xml:space="preserve">embers and their </w:t>
      </w:r>
      <w:r w:rsidR="00CF20F3" w:rsidRPr="00FD3978">
        <w:rPr>
          <w:rFonts w:ascii="Times New Roman" w:hAnsi="Times New Roman" w:cs="Times New Roman"/>
          <w:i/>
          <w:szCs w:val="24"/>
          <w:u w:val="single"/>
        </w:rPr>
        <w:t>A</w:t>
      </w:r>
      <w:r w:rsidRPr="00FD3978">
        <w:rPr>
          <w:rFonts w:ascii="Times New Roman" w:hAnsi="Times New Roman" w:cs="Times New Roman"/>
          <w:i/>
          <w:szCs w:val="24"/>
          <w:u w:val="single"/>
        </w:rPr>
        <w:t>gents</w:t>
      </w:r>
    </w:p>
    <w:p w:rsidR="00C6529E" w:rsidRPr="004053F5" w:rsidRDefault="00C6529E" w:rsidP="00B722DB">
      <w:pPr>
        <w:contextualSpacing/>
        <w:jc w:val="both"/>
        <w:rPr>
          <w:rFonts w:ascii="Times New Roman" w:hAnsi="Times New Roman" w:cs="Times New Roman"/>
          <w:szCs w:val="24"/>
        </w:rPr>
      </w:pPr>
    </w:p>
    <w:p w:rsidR="00CF2205" w:rsidRPr="004053F5" w:rsidRDefault="00CF2205" w:rsidP="00CF2205">
      <w:pPr>
        <w:contextualSpacing/>
        <w:jc w:val="both"/>
        <w:rPr>
          <w:rFonts w:ascii="Times New Roman" w:hAnsi="Times New Roman" w:cs="Times New Roman"/>
          <w:szCs w:val="24"/>
        </w:rPr>
      </w:pPr>
      <w:r w:rsidRPr="004053F5">
        <w:rPr>
          <w:rFonts w:ascii="Times New Roman" w:hAnsi="Times New Roman" w:cs="Times New Roman"/>
          <w:szCs w:val="24"/>
        </w:rPr>
        <w:t>Subject to certain prerequisites (e.g. being regulated in a comparable jurisdiction for providing client clearing services and marketing their services through an authorized institution or a licensed corporation), Type 12 RA will generally not capture overseas clearing members of overseas CCPs.</w:t>
      </w:r>
    </w:p>
    <w:p w:rsidR="00CF2205" w:rsidRPr="004053F5" w:rsidRDefault="00CF2205" w:rsidP="00CF2205">
      <w:pPr>
        <w:contextualSpacing/>
        <w:jc w:val="both"/>
        <w:rPr>
          <w:rFonts w:ascii="Times New Roman" w:hAnsi="Times New Roman" w:cs="Times New Roman"/>
          <w:szCs w:val="24"/>
        </w:rPr>
      </w:pPr>
    </w:p>
    <w:p w:rsidR="00506F97" w:rsidRPr="004053F5" w:rsidRDefault="00DC250B" w:rsidP="00506F97">
      <w:pPr>
        <w:contextualSpacing/>
        <w:jc w:val="both"/>
        <w:rPr>
          <w:rFonts w:ascii="Times New Roman" w:hAnsi="Times New Roman" w:cs="Times New Roman"/>
          <w:szCs w:val="24"/>
        </w:rPr>
      </w:pPr>
      <w:r w:rsidRPr="004053F5">
        <w:rPr>
          <w:rFonts w:ascii="Times New Roman" w:hAnsi="Times New Roman" w:cs="Times New Roman"/>
          <w:szCs w:val="24"/>
        </w:rPr>
        <w:t>In addition</w:t>
      </w:r>
      <w:r w:rsidR="00E21A60" w:rsidRPr="004053F5">
        <w:rPr>
          <w:rFonts w:ascii="Times New Roman" w:hAnsi="Times New Roman" w:cs="Times New Roman"/>
          <w:szCs w:val="24"/>
        </w:rPr>
        <w:t>, t</w:t>
      </w:r>
      <w:r w:rsidR="00506F97" w:rsidRPr="004053F5">
        <w:rPr>
          <w:rFonts w:ascii="Times New Roman" w:hAnsi="Times New Roman" w:cs="Times New Roman"/>
          <w:szCs w:val="24"/>
        </w:rPr>
        <w:t xml:space="preserve">he current definition of “acceptable participant” </w:t>
      </w:r>
      <w:r w:rsidR="00E21A60" w:rsidRPr="004053F5">
        <w:rPr>
          <w:rFonts w:ascii="Times New Roman" w:hAnsi="Times New Roman" w:cs="Times New Roman"/>
          <w:szCs w:val="24"/>
        </w:rPr>
        <w:t xml:space="preserve">(in relation to certain carve-outs for Type 12 RA) </w:t>
      </w:r>
      <w:r w:rsidR="00506F97" w:rsidRPr="004053F5">
        <w:rPr>
          <w:rFonts w:ascii="Times New Roman" w:hAnsi="Times New Roman" w:cs="Times New Roman"/>
          <w:szCs w:val="24"/>
        </w:rPr>
        <w:t>includes persons who have applied to become CPP members but have not yet become official members. This definition</w:t>
      </w:r>
      <w:r w:rsidR="00CF2205" w:rsidRPr="004053F5">
        <w:rPr>
          <w:rFonts w:ascii="Times New Roman" w:hAnsi="Times New Roman" w:cs="Times New Roman"/>
          <w:szCs w:val="24"/>
        </w:rPr>
        <w:t xml:space="preserve"> is proposed to be amended </w:t>
      </w:r>
      <w:r w:rsidR="00506F97" w:rsidRPr="004053F5">
        <w:rPr>
          <w:rFonts w:ascii="Times New Roman" w:hAnsi="Times New Roman" w:cs="Times New Roman"/>
          <w:szCs w:val="24"/>
        </w:rPr>
        <w:t>so to make clear that acceptable participants will include (amongst other persons) persons who have applied to become CCP members but only so long as their application has not been rejected or withdrawn.</w:t>
      </w:r>
    </w:p>
    <w:p w:rsidR="00C6529E" w:rsidRPr="004053F5" w:rsidRDefault="00C6529E" w:rsidP="00C6529E">
      <w:pPr>
        <w:contextualSpacing/>
        <w:jc w:val="both"/>
        <w:rPr>
          <w:rFonts w:ascii="Times New Roman" w:hAnsi="Times New Roman" w:cs="Times New Roman"/>
          <w:szCs w:val="24"/>
        </w:rPr>
      </w:pPr>
    </w:p>
    <w:p w:rsidR="00B722DB" w:rsidRPr="004053F5" w:rsidRDefault="000C0496" w:rsidP="00B722DB">
      <w:pPr>
        <w:contextualSpacing/>
        <w:jc w:val="both"/>
        <w:rPr>
          <w:rFonts w:ascii="Times New Roman" w:hAnsi="Times New Roman" w:cs="Times New Roman"/>
          <w:szCs w:val="24"/>
        </w:rPr>
      </w:pPr>
      <w:r w:rsidRPr="004053F5">
        <w:rPr>
          <w:rFonts w:ascii="Times New Roman" w:hAnsi="Times New Roman" w:cs="Times New Roman"/>
          <w:szCs w:val="24"/>
        </w:rPr>
        <w:t>F</w:t>
      </w:r>
      <w:r w:rsidR="00B722DB" w:rsidRPr="004053F5">
        <w:rPr>
          <w:rFonts w:ascii="Times New Roman" w:hAnsi="Times New Roman" w:cs="Times New Roman"/>
          <w:szCs w:val="24"/>
        </w:rPr>
        <w:t xml:space="preserve">or clarifications on carve-outs for agents and introducing brokers for Type 12 RA (regardless of whether the contractual party is an overseas person), please see </w:t>
      </w:r>
      <w:r w:rsidR="005546DC" w:rsidRPr="004053F5">
        <w:rPr>
          <w:rFonts w:ascii="Times New Roman" w:hAnsi="Times New Roman" w:cs="Times New Roman"/>
          <w:szCs w:val="24"/>
        </w:rPr>
        <w:t xml:space="preserve">section (5) </w:t>
      </w:r>
      <w:r w:rsidR="00B722DB" w:rsidRPr="004053F5">
        <w:rPr>
          <w:rFonts w:ascii="Times New Roman" w:hAnsi="Times New Roman" w:cs="Times New Roman"/>
          <w:szCs w:val="24"/>
        </w:rPr>
        <w:t>below.</w:t>
      </w:r>
    </w:p>
    <w:p w:rsidR="000C0496" w:rsidRDefault="000C0496" w:rsidP="00C6529E">
      <w:pPr>
        <w:contextualSpacing/>
        <w:jc w:val="both"/>
        <w:rPr>
          <w:rFonts w:ascii="Times New Roman" w:hAnsi="Times New Roman" w:cs="Times New Roman"/>
          <w:szCs w:val="24"/>
        </w:rPr>
      </w:pPr>
    </w:p>
    <w:p w:rsidR="00690917" w:rsidRPr="004053F5" w:rsidRDefault="00690917" w:rsidP="00C6529E">
      <w:pPr>
        <w:contextualSpacing/>
        <w:jc w:val="both"/>
        <w:rPr>
          <w:rFonts w:ascii="Times New Roman" w:hAnsi="Times New Roman" w:cs="Times New Roman"/>
          <w:szCs w:val="24"/>
        </w:rPr>
      </w:pPr>
    </w:p>
    <w:p w:rsidR="00C6529E" w:rsidRPr="00FD3978" w:rsidRDefault="00C6529E" w:rsidP="00B722DB">
      <w:pPr>
        <w:pStyle w:val="ListParagraph"/>
        <w:numPr>
          <w:ilvl w:val="0"/>
          <w:numId w:val="8"/>
        </w:numPr>
        <w:ind w:leftChars="0"/>
        <w:contextualSpacing/>
        <w:jc w:val="both"/>
        <w:rPr>
          <w:rFonts w:ascii="Times New Roman" w:hAnsi="Times New Roman" w:cs="Times New Roman"/>
          <w:i/>
          <w:szCs w:val="24"/>
          <w:u w:val="single"/>
        </w:rPr>
      </w:pPr>
      <w:r w:rsidRPr="00FD3978">
        <w:rPr>
          <w:rFonts w:ascii="Times New Roman" w:hAnsi="Times New Roman" w:cs="Times New Roman"/>
          <w:i/>
          <w:szCs w:val="24"/>
          <w:u w:val="single"/>
        </w:rPr>
        <w:t xml:space="preserve">Changes to the </w:t>
      </w:r>
      <w:r w:rsidR="001E0214" w:rsidRPr="00FD3978">
        <w:rPr>
          <w:rFonts w:ascii="Times New Roman" w:hAnsi="Times New Roman" w:cs="Times New Roman"/>
          <w:i/>
          <w:szCs w:val="24"/>
          <w:u w:val="single"/>
        </w:rPr>
        <w:t>S</w:t>
      </w:r>
      <w:r w:rsidRPr="00FD3978">
        <w:rPr>
          <w:rFonts w:ascii="Times New Roman" w:hAnsi="Times New Roman" w:cs="Times New Roman"/>
          <w:i/>
          <w:szCs w:val="24"/>
          <w:u w:val="single"/>
        </w:rPr>
        <w:t xml:space="preserve">cope of Type 12 RA to </w:t>
      </w:r>
      <w:r w:rsidR="001E0214" w:rsidRPr="00FD3978">
        <w:rPr>
          <w:rFonts w:ascii="Times New Roman" w:hAnsi="Times New Roman" w:cs="Times New Roman"/>
          <w:i/>
          <w:szCs w:val="24"/>
          <w:u w:val="single"/>
        </w:rPr>
        <w:t>E</w:t>
      </w:r>
      <w:r w:rsidRPr="00FD3978">
        <w:rPr>
          <w:rFonts w:ascii="Times New Roman" w:hAnsi="Times New Roman" w:cs="Times New Roman"/>
          <w:i/>
          <w:szCs w:val="24"/>
          <w:u w:val="single"/>
        </w:rPr>
        <w:t xml:space="preserve">xclude </w:t>
      </w:r>
      <w:r w:rsidR="001E0214" w:rsidRPr="00FD3978">
        <w:rPr>
          <w:rFonts w:ascii="Times New Roman" w:hAnsi="Times New Roman" w:cs="Times New Roman"/>
          <w:i/>
          <w:szCs w:val="24"/>
          <w:u w:val="single"/>
        </w:rPr>
        <w:t>C</w:t>
      </w:r>
      <w:r w:rsidRPr="00FD3978">
        <w:rPr>
          <w:rFonts w:ascii="Times New Roman" w:hAnsi="Times New Roman" w:cs="Times New Roman"/>
          <w:i/>
          <w:szCs w:val="24"/>
          <w:u w:val="single"/>
        </w:rPr>
        <w:t xml:space="preserve">ertain </w:t>
      </w:r>
      <w:r w:rsidR="001E0214" w:rsidRPr="00FD3978">
        <w:rPr>
          <w:rFonts w:ascii="Times New Roman" w:hAnsi="Times New Roman" w:cs="Times New Roman"/>
          <w:i/>
          <w:szCs w:val="24"/>
          <w:u w:val="single"/>
        </w:rPr>
        <w:t>A</w:t>
      </w:r>
      <w:r w:rsidRPr="00FD3978">
        <w:rPr>
          <w:rFonts w:ascii="Times New Roman" w:hAnsi="Times New Roman" w:cs="Times New Roman"/>
          <w:i/>
          <w:szCs w:val="24"/>
          <w:u w:val="single"/>
        </w:rPr>
        <w:t xml:space="preserve">ncillary and </w:t>
      </w:r>
      <w:r w:rsidR="001E0214" w:rsidRPr="00FD3978">
        <w:rPr>
          <w:rFonts w:ascii="Times New Roman" w:hAnsi="Times New Roman" w:cs="Times New Roman"/>
          <w:i/>
          <w:szCs w:val="24"/>
          <w:u w:val="single"/>
        </w:rPr>
        <w:t>F</w:t>
      </w:r>
      <w:r w:rsidRPr="00FD3978">
        <w:rPr>
          <w:rFonts w:ascii="Times New Roman" w:hAnsi="Times New Roman" w:cs="Times New Roman"/>
          <w:i/>
          <w:szCs w:val="24"/>
          <w:u w:val="single"/>
        </w:rPr>
        <w:t xml:space="preserve">und </w:t>
      </w:r>
      <w:r w:rsidR="001E0214" w:rsidRPr="00FD3978">
        <w:rPr>
          <w:rFonts w:ascii="Times New Roman" w:hAnsi="Times New Roman" w:cs="Times New Roman"/>
          <w:i/>
          <w:szCs w:val="24"/>
          <w:u w:val="single"/>
        </w:rPr>
        <w:t>M</w:t>
      </w:r>
      <w:r w:rsidRPr="00FD3978">
        <w:rPr>
          <w:rFonts w:ascii="Times New Roman" w:hAnsi="Times New Roman" w:cs="Times New Roman"/>
          <w:i/>
          <w:szCs w:val="24"/>
          <w:u w:val="single"/>
        </w:rPr>
        <w:t xml:space="preserve">anager </w:t>
      </w:r>
      <w:r w:rsidR="001E0214" w:rsidRPr="00FD3978">
        <w:rPr>
          <w:rFonts w:ascii="Times New Roman" w:hAnsi="Times New Roman" w:cs="Times New Roman"/>
          <w:i/>
          <w:szCs w:val="24"/>
          <w:u w:val="single"/>
        </w:rPr>
        <w:t>S</w:t>
      </w:r>
      <w:r w:rsidRPr="00FD3978">
        <w:rPr>
          <w:rFonts w:ascii="Times New Roman" w:hAnsi="Times New Roman" w:cs="Times New Roman"/>
          <w:i/>
          <w:szCs w:val="24"/>
          <w:u w:val="single"/>
        </w:rPr>
        <w:t>ervices</w:t>
      </w:r>
    </w:p>
    <w:p w:rsidR="00C6529E" w:rsidRPr="004053F5" w:rsidRDefault="00C6529E" w:rsidP="00C6529E">
      <w:pPr>
        <w:contextualSpacing/>
        <w:jc w:val="both"/>
        <w:rPr>
          <w:rFonts w:ascii="Times New Roman" w:hAnsi="Times New Roman" w:cs="Times New Roman"/>
          <w:szCs w:val="24"/>
        </w:rPr>
      </w:pPr>
    </w:p>
    <w:p w:rsidR="00CD70F6" w:rsidRPr="004053F5" w:rsidRDefault="00CD70F6" w:rsidP="00C6529E">
      <w:pPr>
        <w:contextualSpacing/>
        <w:jc w:val="both"/>
        <w:rPr>
          <w:rFonts w:ascii="Times New Roman" w:hAnsi="Times New Roman" w:cs="Times New Roman"/>
          <w:szCs w:val="24"/>
        </w:rPr>
      </w:pPr>
      <w:r w:rsidRPr="004053F5">
        <w:rPr>
          <w:rFonts w:ascii="Times New Roman" w:hAnsi="Times New Roman" w:cs="Times New Roman"/>
          <w:szCs w:val="24"/>
        </w:rPr>
        <w:t xml:space="preserve">The SFC clarifies that </w:t>
      </w:r>
      <w:r w:rsidR="0097720A" w:rsidRPr="004053F5">
        <w:rPr>
          <w:rFonts w:ascii="Times New Roman" w:hAnsi="Times New Roman" w:cs="Times New Roman"/>
          <w:szCs w:val="24"/>
        </w:rPr>
        <w:t xml:space="preserve">the </w:t>
      </w:r>
      <w:r w:rsidRPr="004053F5">
        <w:rPr>
          <w:rFonts w:ascii="Times New Roman" w:hAnsi="Times New Roman" w:cs="Times New Roman"/>
          <w:szCs w:val="24"/>
        </w:rPr>
        <w:t>provision of client clearing services by licensed asset managers for the asset management activities they are licensed for and solely for the purpose of such asset management, regardless of whether the asset manager is managing authorized or unauthorized funds, or managed or discretionary accounts, will generally not need to be licensed for Type 12 RA.</w:t>
      </w:r>
    </w:p>
    <w:p w:rsidR="00CD70F6" w:rsidRPr="004053F5" w:rsidRDefault="00CD70F6" w:rsidP="00C6529E">
      <w:pPr>
        <w:contextualSpacing/>
        <w:jc w:val="both"/>
        <w:rPr>
          <w:rFonts w:ascii="Times New Roman" w:hAnsi="Times New Roman" w:cs="Times New Roman"/>
          <w:szCs w:val="24"/>
        </w:rPr>
      </w:pPr>
    </w:p>
    <w:p w:rsidR="000B104C" w:rsidRPr="004053F5" w:rsidRDefault="00FD3978" w:rsidP="0034074E">
      <w:pPr>
        <w:contextualSpacing/>
        <w:jc w:val="both"/>
        <w:rPr>
          <w:rFonts w:ascii="Times New Roman" w:hAnsi="Times New Roman" w:cs="Times New Roman"/>
          <w:szCs w:val="24"/>
        </w:rPr>
      </w:pPr>
      <w:r>
        <w:rPr>
          <w:rFonts w:ascii="Times New Roman" w:hAnsi="Times New Roman" w:cs="Times New Roman"/>
          <w:szCs w:val="24"/>
        </w:rPr>
        <w:t xml:space="preserve">The </w:t>
      </w:r>
      <w:r w:rsidR="00D35D80" w:rsidRPr="004053F5">
        <w:rPr>
          <w:rFonts w:ascii="Times New Roman" w:hAnsi="Times New Roman" w:cs="Times New Roman"/>
          <w:szCs w:val="24"/>
        </w:rPr>
        <w:t xml:space="preserve">refined scope of Type 12 RA </w:t>
      </w:r>
      <w:r>
        <w:rPr>
          <w:rFonts w:ascii="Times New Roman" w:hAnsi="Times New Roman" w:cs="Times New Roman"/>
          <w:szCs w:val="24"/>
        </w:rPr>
        <w:t xml:space="preserve">now </w:t>
      </w:r>
      <w:r w:rsidR="00D35D80" w:rsidRPr="004053F5">
        <w:rPr>
          <w:rFonts w:ascii="Times New Roman" w:hAnsi="Times New Roman" w:cs="Times New Roman"/>
          <w:szCs w:val="24"/>
        </w:rPr>
        <w:t xml:space="preserve">only captures those clearing and settlement services provided in the capacity of either a CCP member or in the capacity of a direct or </w:t>
      </w:r>
      <w:r>
        <w:rPr>
          <w:rFonts w:ascii="Times New Roman" w:hAnsi="Times New Roman" w:cs="Times New Roman"/>
          <w:szCs w:val="24"/>
        </w:rPr>
        <w:t>indirect client of a CCP member.</w:t>
      </w:r>
      <w:r w:rsidR="00D35D80" w:rsidRPr="004053F5">
        <w:rPr>
          <w:rFonts w:ascii="Times New Roman" w:hAnsi="Times New Roman" w:cs="Times New Roman"/>
          <w:szCs w:val="24"/>
        </w:rPr>
        <w:t xml:space="preserve"> </w:t>
      </w:r>
      <w:r>
        <w:rPr>
          <w:rFonts w:ascii="Times New Roman" w:hAnsi="Times New Roman" w:cs="Times New Roman"/>
          <w:szCs w:val="24"/>
        </w:rPr>
        <w:t>T</w:t>
      </w:r>
      <w:r w:rsidR="00D35D80" w:rsidRPr="004053F5">
        <w:rPr>
          <w:rFonts w:ascii="Times New Roman" w:hAnsi="Times New Roman" w:cs="Times New Roman"/>
          <w:szCs w:val="24"/>
        </w:rPr>
        <w:t xml:space="preserve">he SFC clarifies that agents or introducing brokers (regardless </w:t>
      </w:r>
      <w:r w:rsidR="005F3CA7" w:rsidRPr="004053F5">
        <w:rPr>
          <w:rFonts w:ascii="Times New Roman" w:hAnsi="Times New Roman" w:cs="Times New Roman"/>
          <w:szCs w:val="24"/>
        </w:rPr>
        <w:t xml:space="preserve">of whether the </w:t>
      </w:r>
      <w:r w:rsidR="00D35D80" w:rsidRPr="004053F5">
        <w:rPr>
          <w:rFonts w:ascii="Times New Roman" w:hAnsi="Times New Roman" w:cs="Times New Roman"/>
          <w:szCs w:val="24"/>
        </w:rPr>
        <w:t>contractual party is an overseas person) not acting in any of these capacities will not be considered a</w:t>
      </w:r>
      <w:r w:rsidR="00314C3D">
        <w:rPr>
          <w:rFonts w:ascii="Times New Roman" w:hAnsi="Times New Roman" w:cs="Times New Roman"/>
          <w:szCs w:val="24"/>
        </w:rPr>
        <w:t xml:space="preserve">s providing </w:t>
      </w:r>
      <w:r w:rsidR="00D35D80" w:rsidRPr="004053F5">
        <w:rPr>
          <w:rFonts w:ascii="Times New Roman" w:hAnsi="Times New Roman" w:cs="Times New Roman"/>
          <w:szCs w:val="24"/>
        </w:rPr>
        <w:t>clearing and settlement services</w:t>
      </w:r>
      <w:r w:rsidR="00314C3D">
        <w:rPr>
          <w:rFonts w:ascii="Times New Roman" w:hAnsi="Times New Roman" w:cs="Times New Roman"/>
          <w:szCs w:val="24"/>
        </w:rPr>
        <w:t xml:space="preserve">. Therefore, </w:t>
      </w:r>
      <w:r w:rsidR="00314C3D" w:rsidRPr="004053F5">
        <w:rPr>
          <w:rFonts w:ascii="Times New Roman" w:hAnsi="Times New Roman" w:cs="Times New Roman"/>
          <w:szCs w:val="24"/>
        </w:rPr>
        <w:t>even though they pass or route the orders to clearing houses or providers of client clearing services</w:t>
      </w:r>
      <w:r w:rsidR="00314C3D">
        <w:rPr>
          <w:rFonts w:ascii="Times New Roman" w:hAnsi="Times New Roman" w:cs="Times New Roman"/>
          <w:szCs w:val="24"/>
        </w:rPr>
        <w:t xml:space="preserve">, they </w:t>
      </w:r>
      <w:r w:rsidR="00D35D80" w:rsidRPr="004053F5">
        <w:rPr>
          <w:rFonts w:ascii="Times New Roman" w:hAnsi="Times New Roman" w:cs="Times New Roman"/>
          <w:szCs w:val="24"/>
        </w:rPr>
        <w:t>will not be captured under the proposed refined scope of Type 12 RA</w:t>
      </w:r>
      <w:r w:rsidR="00314C3D">
        <w:rPr>
          <w:rFonts w:ascii="Times New Roman" w:hAnsi="Times New Roman" w:cs="Times New Roman"/>
          <w:szCs w:val="24"/>
        </w:rPr>
        <w:t>.</w:t>
      </w:r>
    </w:p>
    <w:p w:rsidR="000B104C" w:rsidRPr="004053F5" w:rsidRDefault="000B104C" w:rsidP="0034074E">
      <w:pPr>
        <w:contextualSpacing/>
        <w:jc w:val="both"/>
        <w:rPr>
          <w:rFonts w:ascii="Times New Roman" w:hAnsi="Times New Roman" w:cs="Times New Roman"/>
          <w:szCs w:val="24"/>
        </w:rPr>
      </w:pPr>
    </w:p>
    <w:p w:rsidR="0034074E" w:rsidRPr="004053F5" w:rsidRDefault="000B104C" w:rsidP="0034074E">
      <w:pPr>
        <w:contextualSpacing/>
        <w:jc w:val="both"/>
        <w:rPr>
          <w:rFonts w:ascii="Times New Roman" w:hAnsi="Times New Roman" w:cs="Times New Roman"/>
          <w:szCs w:val="24"/>
        </w:rPr>
      </w:pPr>
      <w:r w:rsidRPr="004053F5">
        <w:rPr>
          <w:rFonts w:ascii="Times New Roman" w:hAnsi="Times New Roman" w:cs="Times New Roman"/>
          <w:szCs w:val="24"/>
        </w:rPr>
        <w:t>In addition</w:t>
      </w:r>
      <w:r w:rsidR="0034074E" w:rsidRPr="004053F5">
        <w:rPr>
          <w:rFonts w:ascii="Times New Roman" w:hAnsi="Times New Roman" w:cs="Times New Roman"/>
          <w:szCs w:val="24"/>
        </w:rPr>
        <w:t xml:space="preserve">, Type 12 RA will </w:t>
      </w:r>
      <w:r w:rsidRPr="004053F5">
        <w:rPr>
          <w:rFonts w:ascii="Times New Roman" w:hAnsi="Times New Roman" w:cs="Times New Roman"/>
          <w:szCs w:val="24"/>
        </w:rPr>
        <w:t xml:space="preserve">generally </w:t>
      </w:r>
      <w:r w:rsidR="0034074E" w:rsidRPr="004053F5">
        <w:rPr>
          <w:rFonts w:ascii="Times New Roman" w:hAnsi="Times New Roman" w:cs="Times New Roman"/>
          <w:szCs w:val="24"/>
        </w:rPr>
        <w:t>capture service providers in the capacity of a CCP member or a clearing client, regardless of how many layers of entities and client relationships are involved.</w:t>
      </w:r>
      <w:r w:rsidRPr="004053F5">
        <w:rPr>
          <w:rFonts w:ascii="Times New Roman" w:hAnsi="Times New Roman" w:cs="Times New Roman"/>
          <w:szCs w:val="24"/>
        </w:rPr>
        <w:t xml:space="preserve"> However, an entity which merely passes clearing and settlement instructions, but does not utilise its capacity as a CCP member or a clearing client, is not providing a service to another person in that capacity, and so will not need to be licensed for Type 12 RA.</w:t>
      </w:r>
    </w:p>
    <w:p w:rsidR="00C6529E" w:rsidRPr="004053F5" w:rsidRDefault="00C6529E" w:rsidP="00C6529E">
      <w:pPr>
        <w:contextualSpacing/>
        <w:jc w:val="both"/>
        <w:rPr>
          <w:rFonts w:ascii="Times New Roman" w:hAnsi="Times New Roman" w:cs="Times New Roman"/>
          <w:szCs w:val="24"/>
        </w:rPr>
      </w:pPr>
    </w:p>
    <w:p w:rsidR="00C6529E" w:rsidRPr="00FD3978" w:rsidRDefault="00C6529E" w:rsidP="00B722DB">
      <w:pPr>
        <w:pStyle w:val="ListParagraph"/>
        <w:numPr>
          <w:ilvl w:val="0"/>
          <w:numId w:val="8"/>
        </w:numPr>
        <w:ind w:leftChars="0"/>
        <w:contextualSpacing/>
        <w:jc w:val="both"/>
        <w:rPr>
          <w:rFonts w:ascii="Times New Roman" w:hAnsi="Times New Roman" w:cs="Times New Roman"/>
          <w:i/>
          <w:szCs w:val="24"/>
          <w:u w:val="single"/>
        </w:rPr>
      </w:pPr>
      <w:r w:rsidRPr="00FD3978">
        <w:rPr>
          <w:rFonts w:ascii="Times New Roman" w:hAnsi="Times New Roman" w:cs="Times New Roman"/>
          <w:i/>
          <w:szCs w:val="24"/>
          <w:u w:val="single"/>
        </w:rPr>
        <w:t>Request to expand carve-outs for fund managers</w:t>
      </w:r>
    </w:p>
    <w:p w:rsidR="00C6529E" w:rsidRPr="004053F5" w:rsidRDefault="00C6529E" w:rsidP="00C6529E">
      <w:pPr>
        <w:contextualSpacing/>
        <w:jc w:val="both"/>
        <w:rPr>
          <w:rFonts w:ascii="Times New Roman" w:hAnsi="Times New Roman" w:cs="Times New Roman"/>
          <w:szCs w:val="24"/>
        </w:rPr>
      </w:pPr>
    </w:p>
    <w:p w:rsidR="00A32A8E" w:rsidRDefault="00A32A8E" w:rsidP="00A32A8E">
      <w:pPr>
        <w:contextualSpacing/>
        <w:jc w:val="both"/>
        <w:rPr>
          <w:rFonts w:ascii="Times New Roman" w:hAnsi="Times New Roman" w:cs="Times New Roman"/>
          <w:szCs w:val="24"/>
        </w:rPr>
      </w:pPr>
      <w:r w:rsidRPr="004053F5">
        <w:rPr>
          <w:rFonts w:ascii="Times New Roman" w:hAnsi="Times New Roman" w:cs="Times New Roman"/>
          <w:szCs w:val="24"/>
        </w:rPr>
        <w:t xml:space="preserve">In relation to funds managed by a fund manager’s affiliates (i.e. the fund manager does not perform a management role in relation to the affiliates’ funds), the fund manager will need </w:t>
      </w:r>
      <w:r w:rsidR="001E0214" w:rsidRPr="004053F5">
        <w:rPr>
          <w:rFonts w:ascii="Times New Roman" w:hAnsi="Times New Roman" w:cs="Times New Roman"/>
          <w:szCs w:val="24"/>
        </w:rPr>
        <w:t>to be licensed for Type 3 and/or Type 11 RA for</w:t>
      </w:r>
      <w:r w:rsidRPr="004053F5">
        <w:rPr>
          <w:rFonts w:ascii="Times New Roman" w:hAnsi="Times New Roman" w:cs="Times New Roman"/>
          <w:szCs w:val="24"/>
        </w:rPr>
        <w:t xml:space="preserve"> dealing activities </w:t>
      </w:r>
      <w:r w:rsidR="001E0214" w:rsidRPr="004053F5">
        <w:rPr>
          <w:rFonts w:ascii="Times New Roman" w:hAnsi="Times New Roman" w:cs="Times New Roman"/>
          <w:szCs w:val="24"/>
        </w:rPr>
        <w:t>in the relevant products (i.e. leveraged foreign exchange contracts and/or OTC derivative contracts) for such funds.</w:t>
      </w:r>
    </w:p>
    <w:p w:rsidR="00690917" w:rsidRDefault="00690917" w:rsidP="00A32A8E">
      <w:pPr>
        <w:contextualSpacing/>
        <w:jc w:val="both"/>
        <w:rPr>
          <w:rFonts w:ascii="Times New Roman" w:hAnsi="Times New Roman" w:cs="Times New Roman"/>
          <w:szCs w:val="24"/>
        </w:rPr>
      </w:pPr>
    </w:p>
    <w:p w:rsidR="00690917" w:rsidRDefault="00690917" w:rsidP="00A32A8E">
      <w:pPr>
        <w:contextualSpacing/>
        <w:jc w:val="both"/>
        <w:rPr>
          <w:rFonts w:ascii="Times New Roman" w:hAnsi="Times New Roman" w:cs="Times New Roman"/>
          <w:szCs w:val="24"/>
        </w:rPr>
      </w:pPr>
    </w:p>
    <w:p w:rsidR="00690917" w:rsidRDefault="00690917" w:rsidP="00A32A8E">
      <w:pPr>
        <w:contextualSpacing/>
        <w:jc w:val="both"/>
        <w:rPr>
          <w:rFonts w:ascii="Times New Roman" w:hAnsi="Times New Roman" w:cs="Times New Roman"/>
          <w:szCs w:val="24"/>
        </w:rPr>
      </w:pPr>
    </w:p>
    <w:p w:rsidR="00690917" w:rsidRDefault="00690917" w:rsidP="00A32A8E">
      <w:pPr>
        <w:contextualSpacing/>
        <w:jc w:val="both"/>
        <w:rPr>
          <w:rFonts w:ascii="Times New Roman" w:hAnsi="Times New Roman" w:cs="Times New Roman"/>
          <w:szCs w:val="24"/>
        </w:rPr>
      </w:pPr>
    </w:p>
    <w:p w:rsidR="00690917" w:rsidRDefault="00690917" w:rsidP="00A32A8E">
      <w:pPr>
        <w:contextualSpacing/>
        <w:jc w:val="both"/>
        <w:rPr>
          <w:rFonts w:ascii="Times New Roman" w:hAnsi="Times New Roman" w:cs="Times New Roman"/>
          <w:szCs w:val="24"/>
        </w:rPr>
      </w:pPr>
    </w:p>
    <w:p w:rsidR="00690917" w:rsidRDefault="00690917" w:rsidP="00A32A8E">
      <w:pPr>
        <w:contextualSpacing/>
        <w:jc w:val="both"/>
        <w:rPr>
          <w:rFonts w:ascii="Times New Roman" w:hAnsi="Times New Roman" w:cs="Times New Roman"/>
          <w:szCs w:val="24"/>
        </w:rPr>
      </w:pPr>
    </w:p>
    <w:p w:rsidR="00690917" w:rsidRDefault="00690917" w:rsidP="00A32A8E">
      <w:pPr>
        <w:contextualSpacing/>
        <w:jc w:val="both"/>
        <w:rPr>
          <w:rFonts w:ascii="Times New Roman" w:hAnsi="Times New Roman" w:cs="Times New Roman"/>
          <w:szCs w:val="24"/>
        </w:rPr>
      </w:pPr>
    </w:p>
    <w:p w:rsidR="00690917" w:rsidRPr="004053F5" w:rsidRDefault="00690917" w:rsidP="00A32A8E">
      <w:pPr>
        <w:contextualSpacing/>
        <w:jc w:val="both"/>
        <w:rPr>
          <w:rFonts w:ascii="Times New Roman" w:hAnsi="Times New Roman" w:cs="Times New Roman"/>
          <w:szCs w:val="24"/>
        </w:rPr>
      </w:pPr>
    </w:p>
    <w:p w:rsidR="00C6529E" w:rsidRPr="004053F5" w:rsidRDefault="00C6529E" w:rsidP="00C6529E">
      <w:pPr>
        <w:contextualSpacing/>
        <w:jc w:val="both"/>
        <w:rPr>
          <w:rFonts w:ascii="Times New Roman" w:hAnsi="Times New Roman" w:cs="Times New Roman"/>
          <w:szCs w:val="24"/>
        </w:rPr>
      </w:pPr>
    </w:p>
    <w:p w:rsidR="00C6529E" w:rsidRPr="00FD3978" w:rsidRDefault="00C6529E" w:rsidP="00FD3978">
      <w:pPr>
        <w:contextualSpacing/>
        <w:jc w:val="both"/>
        <w:rPr>
          <w:rFonts w:ascii="Times New Roman" w:hAnsi="Times New Roman" w:cs="Times New Roman"/>
          <w:b/>
          <w:szCs w:val="24"/>
          <w:u w:val="single"/>
        </w:rPr>
      </w:pPr>
      <w:r w:rsidRPr="00FD3978">
        <w:rPr>
          <w:rFonts w:ascii="Times New Roman" w:hAnsi="Times New Roman" w:cs="Times New Roman"/>
          <w:b/>
          <w:szCs w:val="24"/>
          <w:u w:val="single"/>
        </w:rPr>
        <w:t>Competence and CPT requirements under the OTC derivatives licensing regime</w:t>
      </w:r>
    </w:p>
    <w:p w:rsidR="00E12F88" w:rsidRPr="004053F5" w:rsidRDefault="00E12F88" w:rsidP="00C6529E">
      <w:pPr>
        <w:contextualSpacing/>
        <w:jc w:val="both"/>
        <w:rPr>
          <w:rFonts w:ascii="Times New Roman" w:hAnsi="Times New Roman" w:cs="Times New Roman"/>
          <w:szCs w:val="24"/>
        </w:rPr>
      </w:pPr>
    </w:p>
    <w:p w:rsidR="003F3CB8" w:rsidRPr="004053F5" w:rsidRDefault="003F3CB8" w:rsidP="00690917">
      <w:pPr>
        <w:contextualSpacing/>
        <w:jc w:val="both"/>
        <w:rPr>
          <w:rFonts w:ascii="Times New Roman" w:hAnsi="Times New Roman" w:cs="Times New Roman"/>
          <w:szCs w:val="24"/>
        </w:rPr>
      </w:pPr>
      <w:r w:rsidRPr="004053F5">
        <w:rPr>
          <w:rFonts w:ascii="Times New Roman" w:hAnsi="Times New Roman" w:cs="Times New Roman"/>
          <w:szCs w:val="24"/>
        </w:rPr>
        <w:t xml:space="preserve">As mentioned in the Consultation Paper, the SFC intends to grandfather market participants who qualify for a deemed status under the transitional arrangements and to exempt them from the local regulatory framework paper </w:t>
      </w:r>
      <w:r w:rsidR="00C64E7E" w:rsidRPr="004053F5">
        <w:rPr>
          <w:rFonts w:ascii="Times New Roman" w:hAnsi="Times New Roman" w:cs="Times New Roman"/>
          <w:szCs w:val="24"/>
        </w:rPr>
        <w:t xml:space="preserve">(“LRP”) </w:t>
      </w:r>
      <w:r w:rsidRPr="004053F5">
        <w:rPr>
          <w:rFonts w:ascii="Times New Roman" w:hAnsi="Times New Roman" w:cs="Times New Roman"/>
          <w:szCs w:val="24"/>
        </w:rPr>
        <w:t>requirement, provided that they complete a post-licensing refresher course within a certain period after being deemed licensed or registered. The refresher course will co</w:t>
      </w:r>
      <w:r w:rsidR="00314C3D">
        <w:rPr>
          <w:rFonts w:ascii="Times New Roman" w:hAnsi="Times New Roman" w:cs="Times New Roman"/>
          <w:szCs w:val="24"/>
        </w:rPr>
        <w:t xml:space="preserve">ver </w:t>
      </w:r>
      <w:r w:rsidRPr="004053F5">
        <w:rPr>
          <w:rFonts w:ascii="Times New Roman" w:hAnsi="Times New Roman" w:cs="Times New Roman"/>
          <w:szCs w:val="24"/>
        </w:rPr>
        <w:t>the legal and regulatory framework of the new or expanded RAs</w:t>
      </w:r>
      <w:r w:rsidR="00314C3D">
        <w:rPr>
          <w:rFonts w:ascii="Times New Roman" w:hAnsi="Times New Roman" w:cs="Times New Roman"/>
          <w:szCs w:val="24"/>
        </w:rPr>
        <w:t xml:space="preserve">. It is </w:t>
      </w:r>
      <w:r w:rsidRPr="004053F5">
        <w:rPr>
          <w:rFonts w:ascii="Times New Roman" w:hAnsi="Times New Roman" w:cs="Times New Roman"/>
          <w:szCs w:val="24"/>
        </w:rPr>
        <w:t>a one-off requirement in addition to the normal CPT requirements. Details of the grandfathering arrangements will be announced at a later stage.</w:t>
      </w:r>
    </w:p>
    <w:p w:rsidR="003F3CB8" w:rsidRPr="004053F5" w:rsidRDefault="003F3CB8" w:rsidP="00C6529E">
      <w:pPr>
        <w:contextualSpacing/>
        <w:jc w:val="both"/>
        <w:rPr>
          <w:rFonts w:ascii="Times New Roman" w:hAnsi="Times New Roman" w:cs="Times New Roman"/>
          <w:szCs w:val="24"/>
        </w:rPr>
      </w:pPr>
    </w:p>
    <w:p w:rsidR="003F3CB8" w:rsidRPr="004053F5" w:rsidRDefault="003F3CB8" w:rsidP="003F3CB8">
      <w:pPr>
        <w:contextualSpacing/>
        <w:jc w:val="both"/>
        <w:rPr>
          <w:rFonts w:ascii="Times New Roman" w:hAnsi="Times New Roman" w:cs="Times New Roman"/>
          <w:szCs w:val="24"/>
        </w:rPr>
      </w:pPr>
      <w:r w:rsidRPr="004053F5">
        <w:rPr>
          <w:rFonts w:ascii="Times New Roman" w:hAnsi="Times New Roman" w:cs="Times New Roman"/>
          <w:szCs w:val="24"/>
        </w:rPr>
        <w:t>In relation to what experience would be assessed after the transition period as relevant for Types 11 and 12 RAs and expanded Type 9 RA under Option 2 or Option 3 of the Test of Competence for Representative in Appendix B to the “Guidelines on Competence”, especially if an individual has no direct prior involvement in these RAs, the SFC will adopt the same approach as other RAs to assess the ‘relevance’ element, including the role</w:t>
      </w:r>
      <w:r w:rsidR="00880BEA" w:rsidRPr="004053F5">
        <w:rPr>
          <w:rFonts w:ascii="Times New Roman" w:hAnsi="Times New Roman" w:cs="Times New Roman"/>
          <w:szCs w:val="24"/>
        </w:rPr>
        <w:t>s</w:t>
      </w:r>
      <w:r w:rsidRPr="004053F5">
        <w:rPr>
          <w:rFonts w:ascii="Times New Roman" w:hAnsi="Times New Roman" w:cs="Times New Roman"/>
          <w:szCs w:val="24"/>
        </w:rPr>
        <w:t xml:space="preserve"> and functions to be undertaken by the applicant and whether the applicant possesses the recognised industry qualifications</w:t>
      </w:r>
      <w:r w:rsidR="00880BEA" w:rsidRPr="004053F5">
        <w:rPr>
          <w:rFonts w:ascii="Times New Roman" w:hAnsi="Times New Roman" w:cs="Times New Roman"/>
          <w:szCs w:val="24"/>
        </w:rPr>
        <w:t xml:space="preserve">. The SFC </w:t>
      </w:r>
      <w:r w:rsidRPr="004053F5">
        <w:rPr>
          <w:rFonts w:ascii="Times New Roman" w:hAnsi="Times New Roman" w:cs="Times New Roman"/>
          <w:szCs w:val="24"/>
        </w:rPr>
        <w:t>will also recognise experience gained in Hong Kong or elsewhere which is closely related t</w:t>
      </w:r>
      <w:r w:rsidR="00880BEA" w:rsidRPr="004053F5">
        <w:rPr>
          <w:rFonts w:ascii="Times New Roman" w:hAnsi="Times New Roman" w:cs="Times New Roman"/>
          <w:szCs w:val="24"/>
        </w:rPr>
        <w:t>o the functions to be performed.</w:t>
      </w:r>
    </w:p>
    <w:p w:rsidR="003F3CB8" w:rsidRPr="004053F5" w:rsidRDefault="003F3CB8" w:rsidP="003F3CB8">
      <w:pPr>
        <w:contextualSpacing/>
        <w:jc w:val="both"/>
        <w:rPr>
          <w:rFonts w:ascii="Times New Roman" w:hAnsi="Times New Roman" w:cs="Times New Roman"/>
          <w:szCs w:val="24"/>
        </w:rPr>
      </w:pPr>
    </w:p>
    <w:p w:rsidR="00880BEA" w:rsidRPr="004053F5" w:rsidRDefault="00880BEA" w:rsidP="00880BEA">
      <w:pPr>
        <w:contextualSpacing/>
        <w:jc w:val="both"/>
        <w:rPr>
          <w:rFonts w:ascii="Times New Roman" w:hAnsi="Times New Roman" w:cs="Times New Roman"/>
          <w:szCs w:val="24"/>
        </w:rPr>
      </w:pPr>
      <w:r w:rsidRPr="004053F5">
        <w:rPr>
          <w:rFonts w:ascii="Times New Roman" w:hAnsi="Times New Roman" w:cs="Times New Roman"/>
          <w:szCs w:val="24"/>
        </w:rPr>
        <w:t xml:space="preserve">For applicants applying for a temporary licence for Type 11 RA, they will be fully exempted from the </w:t>
      </w:r>
      <w:r w:rsidR="009F0A08" w:rsidRPr="004053F5">
        <w:rPr>
          <w:rFonts w:ascii="Times New Roman" w:hAnsi="Times New Roman" w:cs="Times New Roman"/>
          <w:szCs w:val="24"/>
        </w:rPr>
        <w:t>LRP requirements</w:t>
      </w:r>
      <w:r w:rsidRPr="004053F5">
        <w:rPr>
          <w:rFonts w:ascii="Times New Roman" w:hAnsi="Times New Roman" w:cs="Times New Roman"/>
          <w:szCs w:val="24"/>
        </w:rPr>
        <w:t>.</w:t>
      </w:r>
    </w:p>
    <w:p w:rsidR="009F0A08" w:rsidRPr="004053F5" w:rsidRDefault="009F0A08" w:rsidP="00C6529E">
      <w:pPr>
        <w:contextualSpacing/>
        <w:jc w:val="both"/>
        <w:rPr>
          <w:rFonts w:ascii="Times New Roman" w:hAnsi="Times New Roman" w:cs="Times New Roman"/>
          <w:szCs w:val="24"/>
        </w:rPr>
      </w:pPr>
    </w:p>
    <w:p w:rsidR="009F0A08" w:rsidRPr="004053F5" w:rsidRDefault="009F0A08" w:rsidP="00C6529E">
      <w:pPr>
        <w:contextualSpacing/>
        <w:jc w:val="both"/>
        <w:rPr>
          <w:rFonts w:ascii="Times New Roman" w:hAnsi="Times New Roman" w:cs="Times New Roman"/>
          <w:b/>
          <w:szCs w:val="24"/>
          <w:u w:val="single"/>
        </w:rPr>
      </w:pPr>
      <w:r w:rsidRPr="004053F5">
        <w:rPr>
          <w:rFonts w:ascii="Times New Roman" w:hAnsi="Times New Roman" w:cs="Times New Roman"/>
          <w:b/>
          <w:szCs w:val="24"/>
          <w:u w:val="single"/>
        </w:rPr>
        <w:t>Concluding Remarks</w:t>
      </w:r>
    </w:p>
    <w:p w:rsidR="009F0A08" w:rsidRPr="004053F5" w:rsidRDefault="009F0A08" w:rsidP="00C6529E">
      <w:pPr>
        <w:contextualSpacing/>
        <w:jc w:val="both"/>
        <w:rPr>
          <w:rFonts w:ascii="Times New Roman" w:hAnsi="Times New Roman" w:cs="Times New Roman"/>
          <w:szCs w:val="24"/>
        </w:rPr>
      </w:pPr>
    </w:p>
    <w:p w:rsidR="009F0A08" w:rsidRPr="004053F5" w:rsidRDefault="009F0A08" w:rsidP="009F0A08">
      <w:pPr>
        <w:contextualSpacing/>
        <w:jc w:val="both"/>
        <w:rPr>
          <w:rFonts w:ascii="Times New Roman" w:hAnsi="Times New Roman" w:cs="Times New Roman"/>
          <w:szCs w:val="24"/>
        </w:rPr>
      </w:pPr>
      <w:r w:rsidRPr="004053F5">
        <w:rPr>
          <w:rFonts w:ascii="Times New Roman" w:hAnsi="Times New Roman" w:cs="Times New Roman"/>
          <w:szCs w:val="24"/>
        </w:rPr>
        <w:t xml:space="preserve">The SFC is working with the Department of </w:t>
      </w:r>
      <w:r w:rsidR="00701869" w:rsidRPr="004053F5">
        <w:rPr>
          <w:rFonts w:ascii="Times New Roman" w:hAnsi="Times New Roman" w:cs="Times New Roman"/>
          <w:szCs w:val="24"/>
        </w:rPr>
        <w:t>Justice</w:t>
      </w:r>
      <w:r w:rsidRPr="004053F5">
        <w:rPr>
          <w:rFonts w:ascii="Times New Roman" w:hAnsi="Times New Roman" w:cs="Times New Roman"/>
          <w:szCs w:val="24"/>
        </w:rPr>
        <w:t xml:space="preserve"> on the drafting of the relevant amendments to the Securities and Futu</w:t>
      </w:r>
      <w:r w:rsidR="00451F06" w:rsidRPr="004053F5">
        <w:rPr>
          <w:rFonts w:ascii="Times New Roman" w:hAnsi="Times New Roman" w:cs="Times New Roman"/>
          <w:szCs w:val="24"/>
        </w:rPr>
        <w:t>res (Amendment) Ordinance 2014, and t</w:t>
      </w:r>
      <w:r w:rsidRPr="004053F5">
        <w:rPr>
          <w:rFonts w:ascii="Times New Roman" w:hAnsi="Times New Roman" w:cs="Times New Roman"/>
          <w:szCs w:val="24"/>
        </w:rPr>
        <w:t>he OTC derivatives licensing regime will not be implemented until the amendments to other relevant subsidiary legislation, including the FRR, are completed</w:t>
      </w:r>
      <w:r w:rsidR="00451F06" w:rsidRPr="004053F5">
        <w:rPr>
          <w:rFonts w:ascii="Times New Roman" w:hAnsi="Times New Roman" w:cs="Times New Roman"/>
          <w:szCs w:val="24"/>
        </w:rPr>
        <w:t>.</w:t>
      </w:r>
    </w:p>
    <w:p w:rsidR="009F0A08" w:rsidRPr="004053F5" w:rsidRDefault="009F0A08" w:rsidP="00C6529E">
      <w:pPr>
        <w:contextualSpacing/>
        <w:jc w:val="both"/>
        <w:rPr>
          <w:rFonts w:ascii="Times New Roman" w:hAnsi="Times New Roman" w:cs="Times New Roman"/>
          <w:szCs w:val="24"/>
        </w:rPr>
      </w:pPr>
    </w:p>
    <w:sectPr w:rsidR="009F0A08" w:rsidRPr="004053F5">
      <w:headerReference w:type="default" r:id="rId7"/>
      <w:footerReference w:type="default"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C2A" w:rsidRDefault="00972C2A" w:rsidP="00866E0F">
      <w:r>
        <w:separator/>
      </w:r>
    </w:p>
  </w:endnote>
  <w:endnote w:type="continuationSeparator" w:id="0">
    <w:p w:rsidR="00972C2A" w:rsidRDefault="00972C2A" w:rsidP="0086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44191"/>
      <w:docPartObj>
        <w:docPartGallery w:val="Page Numbers (Bottom of Page)"/>
        <w:docPartUnique/>
      </w:docPartObj>
    </w:sdtPr>
    <w:sdtEndPr/>
    <w:sdtContent>
      <w:sdt>
        <w:sdtPr>
          <w:id w:val="860082579"/>
          <w:docPartObj>
            <w:docPartGallery w:val="Page Numbers (Top of Page)"/>
            <w:docPartUnique/>
          </w:docPartObj>
        </w:sdtPr>
        <w:sdtEndPr/>
        <w:sdtContent>
          <w:p w:rsidR="00866E0F" w:rsidRDefault="00866E0F">
            <w:pPr>
              <w:pStyle w:val="Footer"/>
              <w:jc w:val="right"/>
            </w:pPr>
            <w:r w:rsidRPr="00CE6855">
              <w:rPr>
                <w:rFonts w:ascii="Times New Roman" w:hAnsi="Times New Roman" w:cs="Times New Roman"/>
              </w:rPr>
              <w:t xml:space="preserve">Page </w:t>
            </w:r>
            <w:r w:rsidRPr="00CE6855">
              <w:rPr>
                <w:rFonts w:ascii="Times New Roman" w:hAnsi="Times New Roman" w:cs="Times New Roman"/>
                <w:b/>
                <w:bCs/>
                <w:szCs w:val="24"/>
              </w:rPr>
              <w:fldChar w:fldCharType="begin"/>
            </w:r>
            <w:r w:rsidRPr="00CE6855">
              <w:rPr>
                <w:rFonts w:ascii="Times New Roman" w:hAnsi="Times New Roman" w:cs="Times New Roman"/>
                <w:b/>
                <w:bCs/>
              </w:rPr>
              <w:instrText xml:space="preserve"> PAGE </w:instrText>
            </w:r>
            <w:r w:rsidRPr="00CE6855">
              <w:rPr>
                <w:rFonts w:ascii="Times New Roman" w:hAnsi="Times New Roman" w:cs="Times New Roman"/>
                <w:b/>
                <w:bCs/>
                <w:szCs w:val="24"/>
              </w:rPr>
              <w:fldChar w:fldCharType="separate"/>
            </w:r>
            <w:r w:rsidR="00D36DF5">
              <w:rPr>
                <w:rFonts w:ascii="Times New Roman" w:hAnsi="Times New Roman" w:cs="Times New Roman"/>
                <w:b/>
                <w:bCs/>
                <w:noProof/>
              </w:rPr>
              <w:t>1</w:t>
            </w:r>
            <w:r w:rsidRPr="00CE6855">
              <w:rPr>
                <w:rFonts w:ascii="Times New Roman" w:hAnsi="Times New Roman" w:cs="Times New Roman"/>
                <w:b/>
                <w:bCs/>
                <w:szCs w:val="24"/>
              </w:rPr>
              <w:fldChar w:fldCharType="end"/>
            </w:r>
            <w:r w:rsidRPr="00CE6855">
              <w:rPr>
                <w:rFonts w:ascii="Times New Roman" w:hAnsi="Times New Roman" w:cs="Times New Roman"/>
              </w:rPr>
              <w:t xml:space="preserve"> of </w:t>
            </w:r>
            <w:r w:rsidRPr="00CE6855">
              <w:rPr>
                <w:rFonts w:ascii="Times New Roman" w:hAnsi="Times New Roman" w:cs="Times New Roman"/>
                <w:b/>
                <w:bCs/>
                <w:szCs w:val="24"/>
              </w:rPr>
              <w:fldChar w:fldCharType="begin"/>
            </w:r>
            <w:r w:rsidRPr="00CE6855">
              <w:rPr>
                <w:rFonts w:ascii="Times New Roman" w:hAnsi="Times New Roman" w:cs="Times New Roman"/>
                <w:b/>
                <w:bCs/>
              </w:rPr>
              <w:instrText xml:space="preserve"> NUMPAGES  </w:instrText>
            </w:r>
            <w:r w:rsidRPr="00CE6855">
              <w:rPr>
                <w:rFonts w:ascii="Times New Roman" w:hAnsi="Times New Roman" w:cs="Times New Roman"/>
                <w:b/>
                <w:bCs/>
                <w:szCs w:val="24"/>
              </w:rPr>
              <w:fldChar w:fldCharType="separate"/>
            </w:r>
            <w:r w:rsidR="00D36DF5">
              <w:rPr>
                <w:rFonts w:ascii="Times New Roman" w:hAnsi="Times New Roman" w:cs="Times New Roman"/>
                <w:b/>
                <w:bCs/>
                <w:noProof/>
              </w:rPr>
              <w:t>4</w:t>
            </w:r>
            <w:r w:rsidRPr="00CE6855">
              <w:rPr>
                <w:rFonts w:ascii="Times New Roman" w:hAnsi="Times New Roman" w:cs="Times New Roman"/>
                <w:b/>
                <w:bCs/>
                <w:szCs w:val="24"/>
              </w:rPr>
              <w:fldChar w:fldCharType="end"/>
            </w:r>
          </w:p>
        </w:sdtContent>
      </w:sdt>
    </w:sdtContent>
  </w:sdt>
  <w:p w:rsidR="00866E0F" w:rsidRDefault="00866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C2A" w:rsidRDefault="00972C2A" w:rsidP="00866E0F">
      <w:r>
        <w:separator/>
      </w:r>
    </w:p>
  </w:footnote>
  <w:footnote w:type="continuationSeparator" w:id="0">
    <w:p w:rsidR="00972C2A" w:rsidRDefault="00972C2A" w:rsidP="00866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17" w:rsidRDefault="00690917">
    <w:pPr>
      <w:pStyle w:val="Header"/>
    </w:pPr>
    <w:r>
      <w:rPr>
        <w:noProof/>
        <w:lang w:eastAsia="en-US"/>
      </w:rPr>
      <w:drawing>
        <wp:inline distT="0" distB="0" distL="0" distR="0">
          <wp:extent cx="279019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428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4A4"/>
    <w:multiLevelType w:val="hybridMultilevel"/>
    <w:tmpl w:val="91946426"/>
    <w:lvl w:ilvl="0" w:tplc="BAEC61A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4151D7"/>
    <w:multiLevelType w:val="hybridMultilevel"/>
    <w:tmpl w:val="D146F742"/>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40A3C37"/>
    <w:multiLevelType w:val="hybridMultilevel"/>
    <w:tmpl w:val="6CFA113E"/>
    <w:lvl w:ilvl="0" w:tplc="C694BAA2">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CAE0F37"/>
    <w:multiLevelType w:val="hybridMultilevel"/>
    <w:tmpl w:val="BBD46CC8"/>
    <w:lvl w:ilvl="0" w:tplc="A18854C0">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F8D1088"/>
    <w:multiLevelType w:val="hybridMultilevel"/>
    <w:tmpl w:val="BBD46CC8"/>
    <w:lvl w:ilvl="0" w:tplc="A18854C0">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22820E7"/>
    <w:multiLevelType w:val="hybridMultilevel"/>
    <w:tmpl w:val="BBD46CC8"/>
    <w:lvl w:ilvl="0" w:tplc="A18854C0">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C781EC9"/>
    <w:multiLevelType w:val="hybridMultilevel"/>
    <w:tmpl w:val="91946426"/>
    <w:lvl w:ilvl="0" w:tplc="BAEC61A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4C3385"/>
    <w:multiLevelType w:val="hybridMultilevel"/>
    <w:tmpl w:val="EE502204"/>
    <w:lvl w:ilvl="0" w:tplc="152C8C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195C2E"/>
    <w:multiLevelType w:val="hybridMultilevel"/>
    <w:tmpl w:val="91946426"/>
    <w:lvl w:ilvl="0" w:tplc="BAEC61A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QwszQzMwQiEzMzSyUdpeDU4uLM/DyQApNaABYsn98sAAAA"/>
  </w:docVars>
  <w:rsids>
    <w:rsidRoot w:val="00E12F88"/>
    <w:rsid w:val="00012999"/>
    <w:rsid w:val="0007550D"/>
    <w:rsid w:val="000A6C1D"/>
    <w:rsid w:val="000B104C"/>
    <w:rsid w:val="000C0496"/>
    <w:rsid w:val="000F4254"/>
    <w:rsid w:val="001E0214"/>
    <w:rsid w:val="002921AB"/>
    <w:rsid w:val="00294EE7"/>
    <w:rsid w:val="002D392A"/>
    <w:rsid w:val="00314C3D"/>
    <w:rsid w:val="00333180"/>
    <w:rsid w:val="0034074E"/>
    <w:rsid w:val="003730AA"/>
    <w:rsid w:val="00393B8A"/>
    <w:rsid w:val="003F3CB8"/>
    <w:rsid w:val="004053F5"/>
    <w:rsid w:val="004328B1"/>
    <w:rsid w:val="00451F06"/>
    <w:rsid w:val="004F2540"/>
    <w:rsid w:val="00506F97"/>
    <w:rsid w:val="00532383"/>
    <w:rsid w:val="005546DC"/>
    <w:rsid w:val="00561DA0"/>
    <w:rsid w:val="005F3CA7"/>
    <w:rsid w:val="00601E3A"/>
    <w:rsid w:val="00624267"/>
    <w:rsid w:val="00631CDD"/>
    <w:rsid w:val="00690917"/>
    <w:rsid w:val="006A0393"/>
    <w:rsid w:val="006B55F7"/>
    <w:rsid w:val="00701869"/>
    <w:rsid w:val="00736366"/>
    <w:rsid w:val="007C0E47"/>
    <w:rsid w:val="008004EB"/>
    <w:rsid w:val="008179D0"/>
    <w:rsid w:val="00866E0F"/>
    <w:rsid w:val="00880BEA"/>
    <w:rsid w:val="008C25E5"/>
    <w:rsid w:val="008C5EBF"/>
    <w:rsid w:val="008E0354"/>
    <w:rsid w:val="008F3C2F"/>
    <w:rsid w:val="00972C2A"/>
    <w:rsid w:val="0097720A"/>
    <w:rsid w:val="009F0A08"/>
    <w:rsid w:val="00A141AC"/>
    <w:rsid w:val="00A32A8E"/>
    <w:rsid w:val="00A44E26"/>
    <w:rsid w:val="00A71E0D"/>
    <w:rsid w:val="00A86413"/>
    <w:rsid w:val="00AA539F"/>
    <w:rsid w:val="00B06399"/>
    <w:rsid w:val="00B722DB"/>
    <w:rsid w:val="00B82D21"/>
    <w:rsid w:val="00BD52DE"/>
    <w:rsid w:val="00BE44E4"/>
    <w:rsid w:val="00C0449E"/>
    <w:rsid w:val="00C641D0"/>
    <w:rsid w:val="00C64E7E"/>
    <w:rsid w:val="00C6529E"/>
    <w:rsid w:val="00C822DF"/>
    <w:rsid w:val="00C908CA"/>
    <w:rsid w:val="00CD70F6"/>
    <w:rsid w:val="00CE42AE"/>
    <w:rsid w:val="00CE6855"/>
    <w:rsid w:val="00CF20F3"/>
    <w:rsid w:val="00CF2205"/>
    <w:rsid w:val="00D35D80"/>
    <w:rsid w:val="00D36DF5"/>
    <w:rsid w:val="00D761D3"/>
    <w:rsid w:val="00DA6D01"/>
    <w:rsid w:val="00DC250B"/>
    <w:rsid w:val="00DE129B"/>
    <w:rsid w:val="00E12F88"/>
    <w:rsid w:val="00E21A60"/>
    <w:rsid w:val="00EF3EC6"/>
    <w:rsid w:val="00F44AA5"/>
    <w:rsid w:val="00FD3978"/>
    <w:rsid w:val="00FF43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DDF548-8D7E-4E15-AE4D-AA13D60D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F88"/>
    <w:pPr>
      <w:widowControl w:val="0"/>
      <w:autoSpaceDE w:val="0"/>
      <w:autoSpaceDN w:val="0"/>
      <w:adjustRightInd w:val="0"/>
    </w:pPr>
    <w:rPr>
      <w:rFonts w:ascii="Arial" w:hAnsi="Arial" w:cs="Arial"/>
      <w:color w:val="000000"/>
      <w:kern w:val="0"/>
      <w:szCs w:val="24"/>
    </w:rPr>
  </w:style>
  <w:style w:type="paragraph" w:styleId="ListParagraph">
    <w:name w:val="List Paragraph"/>
    <w:basedOn w:val="Normal"/>
    <w:uiPriority w:val="34"/>
    <w:qFormat/>
    <w:rsid w:val="00FF438A"/>
    <w:pPr>
      <w:ind w:leftChars="200" w:left="480"/>
    </w:pPr>
  </w:style>
  <w:style w:type="paragraph" w:styleId="BalloonText">
    <w:name w:val="Balloon Text"/>
    <w:basedOn w:val="Normal"/>
    <w:link w:val="BalloonTextChar"/>
    <w:uiPriority w:val="99"/>
    <w:semiHidden/>
    <w:unhideWhenUsed/>
    <w:rsid w:val="004053F5"/>
    <w:rPr>
      <w:rFonts w:ascii="Tahoma" w:hAnsi="Tahoma" w:cs="Tahoma"/>
      <w:sz w:val="16"/>
      <w:szCs w:val="16"/>
    </w:rPr>
  </w:style>
  <w:style w:type="character" w:customStyle="1" w:styleId="BalloonTextChar">
    <w:name w:val="Balloon Text Char"/>
    <w:basedOn w:val="DefaultParagraphFont"/>
    <w:link w:val="BalloonText"/>
    <w:uiPriority w:val="99"/>
    <w:semiHidden/>
    <w:rsid w:val="004053F5"/>
    <w:rPr>
      <w:rFonts w:ascii="Tahoma" w:hAnsi="Tahoma" w:cs="Tahoma"/>
      <w:sz w:val="16"/>
      <w:szCs w:val="16"/>
    </w:rPr>
  </w:style>
  <w:style w:type="paragraph" w:styleId="Header">
    <w:name w:val="header"/>
    <w:basedOn w:val="Normal"/>
    <w:link w:val="HeaderChar"/>
    <w:uiPriority w:val="99"/>
    <w:unhideWhenUsed/>
    <w:rsid w:val="00866E0F"/>
    <w:pPr>
      <w:tabs>
        <w:tab w:val="center" w:pos="4680"/>
        <w:tab w:val="right" w:pos="9360"/>
      </w:tabs>
    </w:pPr>
  </w:style>
  <w:style w:type="character" w:customStyle="1" w:styleId="HeaderChar">
    <w:name w:val="Header Char"/>
    <w:basedOn w:val="DefaultParagraphFont"/>
    <w:link w:val="Header"/>
    <w:uiPriority w:val="99"/>
    <w:rsid w:val="00866E0F"/>
  </w:style>
  <w:style w:type="paragraph" w:styleId="Footer">
    <w:name w:val="footer"/>
    <w:basedOn w:val="Normal"/>
    <w:link w:val="FooterChar"/>
    <w:uiPriority w:val="99"/>
    <w:unhideWhenUsed/>
    <w:rsid w:val="00866E0F"/>
    <w:pPr>
      <w:tabs>
        <w:tab w:val="center" w:pos="4680"/>
        <w:tab w:val="right" w:pos="9360"/>
      </w:tabs>
    </w:pPr>
  </w:style>
  <w:style w:type="character" w:customStyle="1" w:styleId="FooterChar">
    <w:name w:val="Footer Char"/>
    <w:basedOn w:val="DefaultParagraphFont"/>
    <w:link w:val="Footer"/>
    <w:uiPriority w:val="99"/>
    <w:rsid w:val="0086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Lau</dc:creator>
  <cp:lastModifiedBy>Ruby Ng</cp:lastModifiedBy>
  <cp:revision>5</cp:revision>
  <dcterms:created xsi:type="dcterms:W3CDTF">2020-08-21T11:37:00Z</dcterms:created>
  <dcterms:modified xsi:type="dcterms:W3CDTF">2020-08-26T10:02:00Z</dcterms:modified>
</cp:coreProperties>
</file>